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73" w:rsidRDefault="00AD7E73" w:rsidP="00AD7E73">
      <w:pPr>
        <w:rPr>
          <w:rFonts w:ascii="黑体" w:eastAsia="黑体" w:hAnsi="黑体" w:cs="黑体" w:hint="eastAsia"/>
        </w:rPr>
      </w:pPr>
      <w:r>
        <w:rPr>
          <w:rFonts w:ascii="黑体" w:eastAsia="黑体" w:hAnsi="黑体" w:cs="黑体" w:hint="eastAsia"/>
        </w:rPr>
        <w:t>附件</w:t>
      </w:r>
    </w:p>
    <w:p w:rsidR="00AD7E73" w:rsidRDefault="00AD7E73" w:rsidP="00AD7E73">
      <w:pPr>
        <w:spacing w:line="640" w:lineRule="exact"/>
        <w:jc w:val="center"/>
        <w:rPr>
          <w:rFonts w:ascii="文鼎小标宋简" w:eastAsia="文鼎小标宋简" w:hAnsi="文鼎小标宋简" w:cs="文鼎小标宋简" w:hint="eastAsia"/>
          <w:sz w:val="36"/>
          <w:szCs w:val="36"/>
        </w:rPr>
      </w:pPr>
      <w:r>
        <w:rPr>
          <w:rFonts w:ascii="文鼎小标宋简" w:eastAsia="文鼎小标宋简" w:hAnsi="文鼎小标宋简" w:cs="文鼎小标宋简" w:hint="eastAsia"/>
          <w:sz w:val="36"/>
          <w:szCs w:val="36"/>
        </w:rPr>
        <w:t>广东省环境保护厅关于广东省重金属污染</w:t>
      </w:r>
    </w:p>
    <w:p w:rsidR="00AD7E73" w:rsidRDefault="00AD7E73" w:rsidP="00AD7E73">
      <w:pPr>
        <w:spacing w:line="640" w:lineRule="exact"/>
        <w:jc w:val="center"/>
        <w:rPr>
          <w:rFonts w:hint="eastAsia"/>
          <w:sz w:val="36"/>
          <w:szCs w:val="36"/>
        </w:rPr>
      </w:pPr>
      <w:r>
        <w:rPr>
          <w:rFonts w:ascii="文鼎小标宋简" w:eastAsia="文鼎小标宋简" w:hAnsi="文鼎小标宋简" w:cs="文鼎小标宋简" w:hint="eastAsia"/>
          <w:sz w:val="36"/>
          <w:szCs w:val="36"/>
        </w:rPr>
        <w:t>综合防治“十三五”规划</w:t>
      </w:r>
    </w:p>
    <w:p w:rsidR="00AD7E73" w:rsidRDefault="00AD7E73" w:rsidP="00AD7E73">
      <w:pPr>
        <w:rPr>
          <w:rFonts w:hint="eastAsia"/>
        </w:rPr>
      </w:pPr>
    </w:p>
    <w:p w:rsidR="00AD7E73" w:rsidRDefault="00AD7E73" w:rsidP="00AD7E73">
      <w:pPr>
        <w:ind w:firstLineChars="200" w:firstLine="632"/>
        <w:rPr>
          <w:rFonts w:ascii="黑体" w:eastAsia="黑体" w:hAnsi="黑体" w:cs="黑体" w:hint="eastAsia"/>
        </w:rPr>
      </w:pPr>
      <w:bookmarkStart w:id="0" w:name="_Toc468951530"/>
      <w:bookmarkStart w:id="1" w:name="_Toc24744"/>
      <w:bookmarkStart w:id="2" w:name="_Toc12604"/>
      <w:r>
        <w:rPr>
          <w:rFonts w:ascii="黑体" w:eastAsia="黑体" w:hAnsi="黑体" w:cs="黑体" w:hint="eastAsia"/>
        </w:rPr>
        <w:t>一、“十二五”规划实施情况评估</w:t>
      </w:r>
      <w:bookmarkEnd w:id="0"/>
      <w:bookmarkEnd w:id="1"/>
      <w:bookmarkEnd w:id="2"/>
    </w:p>
    <w:p w:rsidR="00AD7E73" w:rsidRDefault="00AD7E73" w:rsidP="00AD7E73">
      <w:pPr>
        <w:ind w:firstLineChars="200" w:firstLine="632"/>
        <w:rPr>
          <w:rFonts w:ascii="楷体_GB2312" w:eastAsia="楷体_GB2312" w:hAnsi="楷体_GB2312" w:cs="楷体_GB2312" w:hint="eastAsia"/>
        </w:rPr>
      </w:pPr>
      <w:bookmarkStart w:id="3" w:name="_Toc468951531"/>
      <w:bookmarkStart w:id="4" w:name="_Toc32655"/>
      <w:bookmarkStart w:id="5" w:name="_Toc18325"/>
      <w:r>
        <w:rPr>
          <w:rFonts w:ascii="楷体_GB2312" w:eastAsia="楷体_GB2312" w:hAnsi="楷体_GB2312" w:cs="楷体_GB2312" w:hint="eastAsia"/>
        </w:rPr>
        <w:t>（一）规划实施总体情况</w:t>
      </w:r>
      <w:bookmarkEnd w:id="3"/>
      <w:bookmarkEnd w:id="4"/>
      <w:bookmarkEnd w:id="5"/>
      <w:r>
        <w:rPr>
          <w:rFonts w:ascii="楷体_GB2312" w:eastAsia="楷体_GB2312" w:hAnsi="楷体_GB2312" w:cs="楷体_GB2312" w:hint="eastAsia"/>
        </w:rPr>
        <w:t>。</w:t>
      </w:r>
    </w:p>
    <w:p w:rsidR="00AD7E73" w:rsidRDefault="00AD7E73" w:rsidP="00AD7E73">
      <w:pPr>
        <w:ind w:rightChars="7" w:right="22" w:firstLineChars="200" w:firstLine="632"/>
      </w:pPr>
      <w:r>
        <w:rPr>
          <w:rFonts w:ascii="仿宋_GB2312" w:hAnsi="仿宋_GB2312" w:cs="仿宋_GB2312" w:hint="eastAsia"/>
        </w:rPr>
        <w:t>我省重金属污染综合防治“十二五”规划实施取得良好成效，</w:t>
      </w:r>
      <w:r>
        <w:t>全省涉重行业产业结构调整优化升级，污染源综合防治水平显著提高，汕头贵屿等一些突出历史遗留问题环境综合整治取得明显成效，重金属污染防治监测监管和预警能力不断加强，重金属环境风险防范水平明显提高。从环境质量状况来看，</w:t>
      </w:r>
      <w:r>
        <w:t>2015</w:t>
      </w:r>
      <w:r>
        <w:t>年全省城市集中式地表饮用水水源重点重金属污染物</w:t>
      </w:r>
      <w:r>
        <w:rPr>
          <w:rFonts w:hint="eastAsia"/>
        </w:rPr>
        <w:t>达标率为</w:t>
      </w:r>
      <w:r>
        <w:t>100%</w:t>
      </w:r>
      <w:r>
        <w:t>；地表水国控断面重点重金属污染物达标率为</w:t>
      </w:r>
      <w:r>
        <w:rPr>
          <w:rFonts w:hint="eastAsia"/>
        </w:rPr>
        <w:t>100</w:t>
      </w:r>
      <w:r>
        <w:t>%</w:t>
      </w:r>
      <w:r>
        <w:t>，比</w:t>
      </w:r>
      <w:r>
        <w:t>201</w:t>
      </w:r>
      <w:r>
        <w:rPr>
          <w:rFonts w:hint="eastAsia"/>
        </w:rPr>
        <w:t>2</w:t>
      </w:r>
      <w:r>
        <w:t>年提高</w:t>
      </w:r>
      <w:r>
        <w:rPr>
          <w:rFonts w:hint="eastAsia"/>
        </w:rPr>
        <w:t>10</w:t>
      </w:r>
      <w:r>
        <w:t>个百分点；全省</w:t>
      </w:r>
      <w:r>
        <w:rPr>
          <w:rFonts w:hint="eastAsia"/>
        </w:rPr>
        <w:t>重点区域水环境监测断面主要防控重点重金属污染物达标率为</w:t>
      </w:r>
      <w:r>
        <w:rPr>
          <w:rFonts w:hint="eastAsia"/>
        </w:rPr>
        <w:t>98.5%</w:t>
      </w:r>
      <w:r>
        <w:rPr>
          <w:rFonts w:hint="eastAsia"/>
        </w:rPr>
        <w:t>，比</w:t>
      </w:r>
      <w:r>
        <w:rPr>
          <w:rFonts w:hint="eastAsia"/>
        </w:rPr>
        <w:t>2012</w:t>
      </w:r>
      <w:r>
        <w:rPr>
          <w:rFonts w:hint="eastAsia"/>
        </w:rPr>
        <w:t>年提高</w:t>
      </w:r>
      <w:r>
        <w:rPr>
          <w:rFonts w:hint="eastAsia"/>
        </w:rPr>
        <w:t>4</w:t>
      </w:r>
      <w:r>
        <w:rPr>
          <w:rFonts w:hint="eastAsia"/>
        </w:rPr>
        <w:t>个百分点；重点区域大气环境监测点位主要防控重点重金属污染物达标率为</w:t>
      </w:r>
      <w:r>
        <w:rPr>
          <w:rFonts w:hint="eastAsia"/>
        </w:rPr>
        <w:t>100%</w:t>
      </w:r>
      <w:r>
        <w:rPr>
          <w:rFonts w:hint="eastAsia"/>
        </w:rPr>
        <w:t>，与</w:t>
      </w:r>
      <w:r>
        <w:rPr>
          <w:rFonts w:hint="eastAsia"/>
        </w:rPr>
        <w:t>2012</w:t>
      </w:r>
      <w:r>
        <w:rPr>
          <w:rFonts w:hint="eastAsia"/>
        </w:rPr>
        <w:t>年持平。</w:t>
      </w:r>
      <w:r>
        <w:t>主要重金属污染物减排方面，</w:t>
      </w:r>
      <w:r>
        <w:t>2015</w:t>
      </w:r>
      <w:r>
        <w:t>年全省</w:t>
      </w:r>
      <w:r>
        <w:rPr>
          <w:rFonts w:hint="eastAsia"/>
        </w:rPr>
        <w:t>五种重点重金属污染物（</w:t>
      </w:r>
      <w:r>
        <w:t>铅、汞、镉、铬</w:t>
      </w:r>
      <w:r>
        <w:rPr>
          <w:rFonts w:hint="eastAsia"/>
        </w:rPr>
        <w:t>和类金属砷）排放总量比</w:t>
      </w:r>
      <w:r>
        <w:rPr>
          <w:rFonts w:hint="eastAsia"/>
        </w:rPr>
        <w:t>2007</w:t>
      </w:r>
      <w:r>
        <w:rPr>
          <w:rFonts w:hint="eastAsia"/>
        </w:rPr>
        <w:t>年下降</w:t>
      </w:r>
      <w:r>
        <w:rPr>
          <w:rFonts w:hint="eastAsia"/>
        </w:rPr>
        <w:t>23.3%</w:t>
      </w:r>
      <w:r>
        <w:rPr>
          <w:rFonts w:hint="eastAsia"/>
        </w:rPr>
        <w:t>，其中，铅、汞、镉、铬和类金属砷排放量分别下降</w:t>
      </w:r>
      <w:r>
        <w:rPr>
          <w:rFonts w:hint="eastAsia"/>
        </w:rPr>
        <w:t>28.3%</w:t>
      </w:r>
      <w:r>
        <w:rPr>
          <w:rFonts w:hint="eastAsia"/>
        </w:rPr>
        <w:t>、</w:t>
      </w:r>
      <w:r>
        <w:rPr>
          <w:rFonts w:hint="eastAsia"/>
        </w:rPr>
        <w:t>20.4%</w:t>
      </w:r>
      <w:r>
        <w:rPr>
          <w:rFonts w:hint="eastAsia"/>
        </w:rPr>
        <w:t>、</w:t>
      </w:r>
      <w:r>
        <w:rPr>
          <w:rFonts w:hint="eastAsia"/>
        </w:rPr>
        <w:t>22.2%</w:t>
      </w:r>
      <w:r>
        <w:rPr>
          <w:rFonts w:hint="eastAsia"/>
        </w:rPr>
        <w:t>、</w:t>
      </w:r>
      <w:r>
        <w:rPr>
          <w:rFonts w:hint="eastAsia"/>
        </w:rPr>
        <w:t>17.9%</w:t>
      </w:r>
      <w:r>
        <w:rPr>
          <w:rFonts w:hint="eastAsia"/>
        </w:rPr>
        <w:t>和</w:t>
      </w:r>
      <w:r>
        <w:rPr>
          <w:rFonts w:hint="eastAsia"/>
        </w:rPr>
        <w:t>28.5%</w:t>
      </w:r>
      <w:r>
        <w:rPr>
          <w:rFonts w:hint="eastAsia"/>
        </w:rPr>
        <w:t>，超额完成国家下达的“十二五”减排任务。</w:t>
      </w:r>
    </w:p>
    <w:p w:rsidR="00AD7E73" w:rsidRDefault="00AD7E73" w:rsidP="00AD7E73">
      <w:pPr>
        <w:rPr>
          <w:rFonts w:hint="eastAsia"/>
        </w:rPr>
        <w:sectPr w:rsidR="00AD7E73">
          <w:pgSz w:w="11906" w:h="16838"/>
          <w:pgMar w:top="2098" w:right="1474" w:bottom="1985" w:left="1587" w:header="851" w:footer="1588" w:gutter="0"/>
          <w:cols w:space="720"/>
          <w:docGrid w:type="linesAndChars" w:linePitch="579" w:charSpace="-849"/>
        </w:sectPr>
      </w:pPr>
    </w:p>
    <w:p w:rsidR="00AD7E73" w:rsidRDefault="00AD7E73" w:rsidP="00AD7E73">
      <w:pPr>
        <w:spacing w:line="360" w:lineRule="auto"/>
        <w:jc w:val="center"/>
        <w:rPr>
          <w:rFonts w:ascii="黑体" w:eastAsia="黑体" w:hAnsi="黑体"/>
          <w:sz w:val="28"/>
          <w:szCs w:val="32"/>
        </w:rPr>
      </w:pPr>
      <w:r>
        <w:rPr>
          <w:rFonts w:ascii="黑体" w:eastAsia="黑体" w:hAnsi="黑体" w:hint="eastAsia"/>
          <w:sz w:val="28"/>
          <w:szCs w:val="32"/>
        </w:rPr>
        <w:lastRenderedPageBreak/>
        <w:t>表1 “十二五”规划主要目标完成情况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9"/>
        <w:gridCol w:w="651"/>
        <w:gridCol w:w="646"/>
        <w:gridCol w:w="4022"/>
        <w:gridCol w:w="1618"/>
        <w:gridCol w:w="1050"/>
        <w:gridCol w:w="954"/>
      </w:tblGrid>
      <w:tr w:rsidR="00AD7E73" w:rsidTr="00CE376B">
        <w:trPr>
          <w:trHeight w:val="363"/>
          <w:jc w:val="center"/>
        </w:trPr>
        <w:tc>
          <w:tcPr>
            <w:tcW w:w="749" w:type="dxa"/>
            <w:vAlign w:val="center"/>
          </w:tcPr>
          <w:p w:rsidR="00AD7E73" w:rsidRDefault="00AD7E73" w:rsidP="00CE376B">
            <w:pPr>
              <w:spacing w:line="280" w:lineRule="exact"/>
              <w:jc w:val="center"/>
              <w:rPr>
                <w:rFonts w:eastAsia="楷体_GB2312"/>
                <w:b/>
                <w:sz w:val="21"/>
                <w:szCs w:val="21"/>
              </w:rPr>
            </w:pPr>
            <w:r>
              <w:rPr>
                <w:rFonts w:eastAsia="楷体_GB2312"/>
                <w:b/>
                <w:sz w:val="21"/>
                <w:szCs w:val="21"/>
              </w:rPr>
              <w:t>序号</w:t>
            </w:r>
          </w:p>
        </w:tc>
        <w:tc>
          <w:tcPr>
            <w:tcW w:w="5319" w:type="dxa"/>
            <w:gridSpan w:val="3"/>
            <w:vAlign w:val="center"/>
          </w:tcPr>
          <w:p w:rsidR="00AD7E73" w:rsidRDefault="00AD7E73" w:rsidP="00CE376B">
            <w:pPr>
              <w:spacing w:line="280" w:lineRule="exact"/>
              <w:ind w:firstLineChars="94" w:firstLine="194"/>
              <w:jc w:val="center"/>
              <w:rPr>
                <w:rFonts w:eastAsia="楷体_GB2312"/>
                <w:b/>
                <w:sz w:val="21"/>
                <w:szCs w:val="21"/>
              </w:rPr>
            </w:pPr>
            <w:r>
              <w:rPr>
                <w:rFonts w:eastAsia="楷体_GB2312"/>
                <w:b/>
                <w:sz w:val="21"/>
                <w:szCs w:val="21"/>
              </w:rPr>
              <w:t>指标</w:t>
            </w:r>
          </w:p>
        </w:tc>
        <w:tc>
          <w:tcPr>
            <w:tcW w:w="1618" w:type="dxa"/>
            <w:vAlign w:val="center"/>
          </w:tcPr>
          <w:p w:rsidR="00AD7E73" w:rsidRDefault="00AD7E73" w:rsidP="00CE376B">
            <w:pPr>
              <w:spacing w:line="280" w:lineRule="exact"/>
              <w:jc w:val="center"/>
              <w:rPr>
                <w:rFonts w:eastAsia="楷体_GB2312"/>
                <w:b/>
                <w:sz w:val="21"/>
                <w:szCs w:val="21"/>
              </w:rPr>
            </w:pPr>
            <w:r>
              <w:rPr>
                <w:rFonts w:eastAsia="楷体_GB2312"/>
                <w:b/>
                <w:sz w:val="21"/>
                <w:szCs w:val="21"/>
              </w:rPr>
              <w:t>2015</w:t>
            </w:r>
            <w:r>
              <w:rPr>
                <w:rFonts w:eastAsia="楷体_GB2312"/>
                <w:b/>
                <w:sz w:val="21"/>
                <w:szCs w:val="21"/>
              </w:rPr>
              <w:t>年值</w:t>
            </w:r>
          </w:p>
        </w:tc>
        <w:tc>
          <w:tcPr>
            <w:tcW w:w="1050" w:type="dxa"/>
            <w:vAlign w:val="center"/>
          </w:tcPr>
          <w:p w:rsidR="00AD7E73" w:rsidRDefault="00AD7E73" w:rsidP="00CE376B">
            <w:pPr>
              <w:spacing w:line="280" w:lineRule="exact"/>
              <w:jc w:val="center"/>
              <w:rPr>
                <w:rFonts w:eastAsia="楷体_GB2312"/>
                <w:b/>
                <w:sz w:val="21"/>
                <w:szCs w:val="21"/>
              </w:rPr>
            </w:pPr>
            <w:r>
              <w:rPr>
                <w:rFonts w:eastAsia="楷体_GB2312"/>
                <w:b/>
                <w:sz w:val="21"/>
                <w:szCs w:val="21"/>
              </w:rPr>
              <w:t>2015</w:t>
            </w:r>
            <w:r>
              <w:rPr>
                <w:rFonts w:eastAsia="楷体_GB2312"/>
                <w:b/>
                <w:sz w:val="21"/>
                <w:szCs w:val="21"/>
              </w:rPr>
              <w:t>年目标值</w:t>
            </w:r>
          </w:p>
        </w:tc>
        <w:tc>
          <w:tcPr>
            <w:tcW w:w="954" w:type="dxa"/>
            <w:vAlign w:val="center"/>
          </w:tcPr>
          <w:p w:rsidR="00AD7E73" w:rsidRDefault="00AD7E73" w:rsidP="00CE376B">
            <w:pPr>
              <w:spacing w:line="280" w:lineRule="exact"/>
              <w:jc w:val="center"/>
              <w:rPr>
                <w:rFonts w:eastAsia="楷体_GB2312"/>
                <w:b/>
                <w:sz w:val="21"/>
                <w:szCs w:val="21"/>
              </w:rPr>
            </w:pPr>
            <w:r>
              <w:rPr>
                <w:rFonts w:eastAsia="楷体_GB2312"/>
                <w:b/>
                <w:sz w:val="21"/>
                <w:szCs w:val="21"/>
              </w:rPr>
              <w:t>完成</w:t>
            </w:r>
          </w:p>
          <w:p w:rsidR="00AD7E73" w:rsidRDefault="00AD7E73" w:rsidP="00CE376B">
            <w:pPr>
              <w:spacing w:line="280" w:lineRule="exact"/>
              <w:jc w:val="center"/>
              <w:rPr>
                <w:rFonts w:eastAsia="楷体_GB2312"/>
                <w:b/>
                <w:sz w:val="21"/>
                <w:szCs w:val="21"/>
              </w:rPr>
            </w:pPr>
            <w:r>
              <w:rPr>
                <w:rFonts w:eastAsia="楷体_GB2312"/>
                <w:b/>
                <w:sz w:val="21"/>
                <w:szCs w:val="21"/>
              </w:rPr>
              <w:t>情况</w:t>
            </w:r>
          </w:p>
        </w:tc>
      </w:tr>
      <w:tr w:rsidR="00AD7E73" w:rsidTr="00CE376B">
        <w:trPr>
          <w:trHeight w:val="363"/>
          <w:jc w:val="center"/>
        </w:trPr>
        <w:tc>
          <w:tcPr>
            <w:tcW w:w="749" w:type="dxa"/>
            <w:vAlign w:val="center"/>
          </w:tcPr>
          <w:p w:rsidR="00AD7E73" w:rsidRDefault="00AD7E73" w:rsidP="00CE376B">
            <w:pPr>
              <w:spacing w:line="280" w:lineRule="exact"/>
              <w:jc w:val="center"/>
              <w:rPr>
                <w:rFonts w:eastAsia="楷体_GB2312"/>
                <w:snapToGrid w:val="0"/>
                <w:kern w:val="0"/>
                <w:sz w:val="21"/>
                <w:szCs w:val="21"/>
              </w:rPr>
            </w:pPr>
            <w:r>
              <w:rPr>
                <w:rFonts w:eastAsia="楷体_GB2312"/>
                <w:snapToGrid w:val="0"/>
                <w:kern w:val="0"/>
                <w:sz w:val="21"/>
                <w:szCs w:val="21"/>
              </w:rPr>
              <w:t>1</w:t>
            </w:r>
          </w:p>
        </w:tc>
        <w:tc>
          <w:tcPr>
            <w:tcW w:w="651"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环境质量</w:t>
            </w:r>
          </w:p>
        </w:tc>
        <w:tc>
          <w:tcPr>
            <w:tcW w:w="4668" w:type="dxa"/>
            <w:gridSpan w:val="2"/>
            <w:vAlign w:val="center"/>
          </w:tcPr>
          <w:p w:rsidR="00AD7E73" w:rsidRDefault="00AD7E73" w:rsidP="00CE376B">
            <w:pPr>
              <w:spacing w:line="280" w:lineRule="exact"/>
              <w:jc w:val="left"/>
              <w:rPr>
                <w:rFonts w:eastAsia="楷体_GB2312"/>
                <w:snapToGrid w:val="0"/>
                <w:kern w:val="0"/>
                <w:sz w:val="21"/>
                <w:szCs w:val="21"/>
              </w:rPr>
            </w:pPr>
            <w:r>
              <w:rPr>
                <w:rFonts w:eastAsia="楷体_GB2312"/>
                <w:snapToGrid w:val="0"/>
                <w:kern w:val="0"/>
                <w:sz w:val="21"/>
                <w:szCs w:val="21"/>
              </w:rPr>
              <w:t>城镇集中式地表饮用水水源重点重金属污染物达标率（</w:t>
            </w:r>
            <w:r>
              <w:rPr>
                <w:rFonts w:eastAsia="楷体_GB2312"/>
                <w:snapToGrid w:val="0"/>
                <w:kern w:val="0"/>
                <w:sz w:val="21"/>
                <w:szCs w:val="21"/>
              </w:rPr>
              <w:t>%</w:t>
            </w:r>
            <w:r>
              <w:rPr>
                <w:rFonts w:eastAsia="楷体_GB2312"/>
                <w:snapToGrid w:val="0"/>
                <w:kern w:val="0"/>
                <w:sz w:val="21"/>
                <w:szCs w:val="21"/>
              </w:rPr>
              <w:t>）</w:t>
            </w:r>
          </w:p>
        </w:tc>
        <w:tc>
          <w:tcPr>
            <w:tcW w:w="1618"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100</w:t>
            </w:r>
          </w:p>
        </w:tc>
        <w:tc>
          <w:tcPr>
            <w:tcW w:w="1050" w:type="dxa"/>
            <w:vAlign w:val="center"/>
          </w:tcPr>
          <w:p w:rsidR="00AD7E73" w:rsidRDefault="00AD7E73" w:rsidP="00CE376B">
            <w:pPr>
              <w:spacing w:line="280" w:lineRule="exact"/>
              <w:jc w:val="center"/>
              <w:rPr>
                <w:rFonts w:eastAsia="楷体_GB2312"/>
                <w:sz w:val="21"/>
                <w:szCs w:val="21"/>
              </w:rPr>
            </w:pPr>
            <w:r>
              <w:rPr>
                <w:rFonts w:eastAsia="楷体_GB2312"/>
                <w:snapToGrid w:val="0"/>
                <w:kern w:val="0"/>
                <w:sz w:val="21"/>
                <w:szCs w:val="21"/>
              </w:rPr>
              <w:t>100</w:t>
            </w:r>
          </w:p>
        </w:tc>
        <w:tc>
          <w:tcPr>
            <w:tcW w:w="954"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完成</w:t>
            </w:r>
          </w:p>
        </w:tc>
      </w:tr>
      <w:tr w:rsidR="00AD7E73" w:rsidTr="00CE376B">
        <w:trPr>
          <w:trHeight w:val="363"/>
          <w:jc w:val="center"/>
        </w:trPr>
        <w:tc>
          <w:tcPr>
            <w:tcW w:w="749" w:type="dxa"/>
            <w:vAlign w:val="center"/>
          </w:tcPr>
          <w:p w:rsidR="00AD7E73" w:rsidRDefault="00AD7E73" w:rsidP="00CE376B">
            <w:pPr>
              <w:spacing w:line="280" w:lineRule="exact"/>
              <w:jc w:val="center"/>
              <w:rPr>
                <w:rFonts w:eastAsia="楷体_GB2312"/>
                <w:snapToGrid w:val="0"/>
                <w:kern w:val="0"/>
                <w:sz w:val="21"/>
                <w:szCs w:val="21"/>
              </w:rPr>
            </w:pPr>
            <w:r>
              <w:rPr>
                <w:rFonts w:eastAsia="楷体_GB2312"/>
                <w:snapToGrid w:val="0"/>
                <w:kern w:val="0"/>
                <w:sz w:val="21"/>
                <w:szCs w:val="21"/>
              </w:rPr>
              <w:t>2</w:t>
            </w:r>
          </w:p>
        </w:tc>
        <w:tc>
          <w:tcPr>
            <w:tcW w:w="651" w:type="dxa"/>
            <w:vMerge w:val="restart"/>
            <w:vAlign w:val="center"/>
          </w:tcPr>
          <w:p w:rsidR="00AD7E73" w:rsidRDefault="00AD7E73" w:rsidP="00CE376B">
            <w:pPr>
              <w:spacing w:line="280" w:lineRule="exact"/>
              <w:jc w:val="center"/>
              <w:rPr>
                <w:rFonts w:eastAsia="楷体_GB2312"/>
                <w:sz w:val="21"/>
                <w:szCs w:val="21"/>
              </w:rPr>
            </w:pPr>
            <w:r>
              <w:rPr>
                <w:rFonts w:eastAsia="楷体_GB2312"/>
                <w:sz w:val="21"/>
                <w:szCs w:val="21"/>
              </w:rPr>
              <w:t>总量控制</w:t>
            </w:r>
          </w:p>
        </w:tc>
        <w:tc>
          <w:tcPr>
            <w:tcW w:w="646" w:type="dxa"/>
            <w:vMerge w:val="restart"/>
            <w:vAlign w:val="center"/>
          </w:tcPr>
          <w:p w:rsidR="00AD7E73" w:rsidRDefault="00AD7E73" w:rsidP="00CE376B">
            <w:pPr>
              <w:spacing w:line="280" w:lineRule="exact"/>
              <w:jc w:val="center"/>
              <w:rPr>
                <w:rFonts w:eastAsia="楷体_GB2312"/>
                <w:snapToGrid w:val="0"/>
                <w:kern w:val="0"/>
                <w:sz w:val="21"/>
                <w:szCs w:val="21"/>
              </w:rPr>
            </w:pPr>
            <w:r>
              <w:rPr>
                <w:rFonts w:eastAsia="楷体_GB2312"/>
                <w:snapToGrid w:val="0"/>
                <w:kern w:val="0"/>
                <w:sz w:val="21"/>
                <w:szCs w:val="21"/>
              </w:rPr>
              <w:t>重点区域</w:t>
            </w:r>
          </w:p>
        </w:tc>
        <w:tc>
          <w:tcPr>
            <w:tcW w:w="4022" w:type="dxa"/>
            <w:vAlign w:val="center"/>
          </w:tcPr>
          <w:p w:rsidR="00AD7E73" w:rsidRDefault="00AD7E73" w:rsidP="00CE376B">
            <w:pPr>
              <w:spacing w:line="280" w:lineRule="exact"/>
              <w:jc w:val="left"/>
              <w:rPr>
                <w:rFonts w:eastAsia="楷体_GB2312"/>
                <w:snapToGrid w:val="0"/>
                <w:kern w:val="0"/>
                <w:sz w:val="21"/>
                <w:szCs w:val="21"/>
              </w:rPr>
            </w:pPr>
            <w:r>
              <w:rPr>
                <w:rFonts w:eastAsia="楷体_GB2312"/>
                <w:snapToGrid w:val="0"/>
                <w:kern w:val="0"/>
                <w:sz w:val="21"/>
                <w:szCs w:val="21"/>
              </w:rPr>
              <w:t>珠三角电镀区铬排放量削减率（</w:t>
            </w:r>
            <w:r>
              <w:rPr>
                <w:rFonts w:eastAsia="楷体_GB2312"/>
                <w:snapToGrid w:val="0"/>
                <w:kern w:val="0"/>
                <w:sz w:val="21"/>
                <w:szCs w:val="21"/>
              </w:rPr>
              <w:t>%</w:t>
            </w:r>
            <w:r>
              <w:rPr>
                <w:rFonts w:eastAsia="楷体_GB2312"/>
                <w:snapToGrid w:val="0"/>
                <w:kern w:val="0"/>
                <w:sz w:val="21"/>
                <w:szCs w:val="21"/>
              </w:rPr>
              <w:t>）</w:t>
            </w:r>
          </w:p>
        </w:tc>
        <w:tc>
          <w:tcPr>
            <w:tcW w:w="1618"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19.1</w:t>
            </w:r>
          </w:p>
        </w:tc>
        <w:tc>
          <w:tcPr>
            <w:tcW w:w="1050"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15</w:t>
            </w:r>
          </w:p>
        </w:tc>
        <w:tc>
          <w:tcPr>
            <w:tcW w:w="954"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完成</w:t>
            </w:r>
          </w:p>
        </w:tc>
      </w:tr>
      <w:tr w:rsidR="00AD7E73" w:rsidTr="00CE376B">
        <w:trPr>
          <w:trHeight w:val="363"/>
          <w:jc w:val="center"/>
        </w:trPr>
        <w:tc>
          <w:tcPr>
            <w:tcW w:w="749" w:type="dxa"/>
            <w:vAlign w:val="center"/>
          </w:tcPr>
          <w:p w:rsidR="00AD7E73" w:rsidRDefault="00AD7E73" w:rsidP="00CE376B">
            <w:pPr>
              <w:spacing w:line="280" w:lineRule="exact"/>
              <w:jc w:val="center"/>
              <w:rPr>
                <w:rFonts w:eastAsia="楷体_GB2312"/>
                <w:snapToGrid w:val="0"/>
                <w:kern w:val="0"/>
                <w:sz w:val="21"/>
                <w:szCs w:val="21"/>
              </w:rPr>
            </w:pPr>
            <w:r>
              <w:rPr>
                <w:rFonts w:eastAsia="楷体_GB2312"/>
                <w:snapToGrid w:val="0"/>
                <w:kern w:val="0"/>
                <w:sz w:val="21"/>
                <w:szCs w:val="21"/>
              </w:rPr>
              <w:t>3</w:t>
            </w:r>
          </w:p>
        </w:tc>
        <w:tc>
          <w:tcPr>
            <w:tcW w:w="651" w:type="dxa"/>
            <w:vMerge/>
            <w:vAlign w:val="center"/>
          </w:tcPr>
          <w:p w:rsidR="00AD7E73" w:rsidRDefault="00AD7E73" w:rsidP="00CE376B">
            <w:pPr>
              <w:spacing w:line="280" w:lineRule="exact"/>
              <w:jc w:val="center"/>
              <w:rPr>
                <w:rFonts w:eastAsia="楷体_GB2312"/>
                <w:sz w:val="21"/>
                <w:szCs w:val="21"/>
              </w:rPr>
            </w:pPr>
          </w:p>
        </w:tc>
        <w:tc>
          <w:tcPr>
            <w:tcW w:w="646" w:type="dxa"/>
            <w:vMerge/>
            <w:vAlign w:val="center"/>
          </w:tcPr>
          <w:p w:rsidR="00AD7E73" w:rsidRDefault="00AD7E73" w:rsidP="00CE376B">
            <w:pPr>
              <w:spacing w:line="280" w:lineRule="exact"/>
              <w:jc w:val="left"/>
              <w:rPr>
                <w:rFonts w:eastAsia="楷体_GB2312"/>
                <w:snapToGrid w:val="0"/>
                <w:kern w:val="0"/>
                <w:sz w:val="21"/>
                <w:szCs w:val="21"/>
              </w:rPr>
            </w:pPr>
          </w:p>
        </w:tc>
        <w:tc>
          <w:tcPr>
            <w:tcW w:w="4022" w:type="dxa"/>
            <w:vAlign w:val="center"/>
          </w:tcPr>
          <w:p w:rsidR="00AD7E73" w:rsidRDefault="00AD7E73" w:rsidP="00CE376B">
            <w:pPr>
              <w:spacing w:line="280" w:lineRule="exact"/>
              <w:jc w:val="left"/>
              <w:rPr>
                <w:rFonts w:eastAsia="楷体_GB2312"/>
                <w:snapToGrid w:val="0"/>
                <w:kern w:val="0"/>
                <w:sz w:val="21"/>
                <w:szCs w:val="21"/>
              </w:rPr>
            </w:pPr>
            <w:r>
              <w:rPr>
                <w:rFonts w:eastAsia="楷体_GB2312"/>
                <w:snapToGrid w:val="0"/>
                <w:kern w:val="0"/>
                <w:sz w:val="21"/>
                <w:szCs w:val="21"/>
              </w:rPr>
              <w:t>韶关大宝山矿区及周边地区铅、镉削减率（</w:t>
            </w:r>
            <w:r>
              <w:rPr>
                <w:rFonts w:eastAsia="楷体_GB2312"/>
                <w:snapToGrid w:val="0"/>
                <w:kern w:val="0"/>
                <w:sz w:val="21"/>
                <w:szCs w:val="21"/>
              </w:rPr>
              <w:t>%</w:t>
            </w:r>
            <w:r>
              <w:rPr>
                <w:rFonts w:eastAsia="楷体_GB2312"/>
                <w:snapToGrid w:val="0"/>
                <w:kern w:val="0"/>
                <w:sz w:val="21"/>
                <w:szCs w:val="21"/>
              </w:rPr>
              <w:t>）</w:t>
            </w:r>
            <w:r>
              <w:rPr>
                <w:rFonts w:eastAsia="楷体_GB2312"/>
                <w:snapToGrid w:val="0"/>
                <w:kern w:val="0"/>
                <w:sz w:val="21"/>
                <w:szCs w:val="21"/>
              </w:rPr>
              <w:t xml:space="preserve"> </w:t>
            </w:r>
          </w:p>
        </w:tc>
        <w:tc>
          <w:tcPr>
            <w:tcW w:w="1618"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36.5</w:t>
            </w:r>
            <w:r>
              <w:rPr>
                <w:rFonts w:eastAsia="楷体_GB2312"/>
                <w:sz w:val="21"/>
                <w:szCs w:val="21"/>
              </w:rPr>
              <w:t>（铅）、</w:t>
            </w:r>
          </w:p>
          <w:p w:rsidR="00AD7E73" w:rsidRDefault="00AD7E73" w:rsidP="00CE376B">
            <w:pPr>
              <w:spacing w:line="280" w:lineRule="exact"/>
              <w:jc w:val="center"/>
              <w:rPr>
                <w:rFonts w:eastAsia="楷体_GB2312"/>
                <w:sz w:val="21"/>
                <w:szCs w:val="21"/>
              </w:rPr>
            </w:pPr>
            <w:r>
              <w:rPr>
                <w:rFonts w:eastAsia="楷体_GB2312"/>
                <w:sz w:val="21"/>
                <w:szCs w:val="21"/>
              </w:rPr>
              <w:t>7.5</w:t>
            </w:r>
            <w:r>
              <w:rPr>
                <w:rFonts w:eastAsia="楷体_GB2312"/>
                <w:sz w:val="21"/>
                <w:szCs w:val="21"/>
              </w:rPr>
              <w:t>（镉）</w:t>
            </w:r>
          </w:p>
        </w:tc>
        <w:tc>
          <w:tcPr>
            <w:tcW w:w="1050"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15</w:t>
            </w:r>
          </w:p>
        </w:tc>
        <w:tc>
          <w:tcPr>
            <w:tcW w:w="954"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未完成（镉）</w:t>
            </w:r>
          </w:p>
        </w:tc>
      </w:tr>
      <w:tr w:rsidR="00AD7E73" w:rsidTr="00CE376B">
        <w:trPr>
          <w:trHeight w:val="363"/>
          <w:jc w:val="center"/>
        </w:trPr>
        <w:tc>
          <w:tcPr>
            <w:tcW w:w="749" w:type="dxa"/>
            <w:vAlign w:val="center"/>
          </w:tcPr>
          <w:p w:rsidR="00AD7E73" w:rsidRDefault="00AD7E73" w:rsidP="00CE376B">
            <w:pPr>
              <w:spacing w:line="280" w:lineRule="exact"/>
              <w:jc w:val="center"/>
              <w:rPr>
                <w:rFonts w:eastAsia="楷体_GB2312"/>
                <w:snapToGrid w:val="0"/>
                <w:kern w:val="0"/>
                <w:sz w:val="21"/>
                <w:szCs w:val="21"/>
              </w:rPr>
            </w:pPr>
            <w:r>
              <w:rPr>
                <w:rFonts w:eastAsia="楷体_GB2312"/>
                <w:snapToGrid w:val="0"/>
                <w:kern w:val="0"/>
                <w:sz w:val="21"/>
                <w:szCs w:val="21"/>
              </w:rPr>
              <w:t>4</w:t>
            </w:r>
          </w:p>
        </w:tc>
        <w:tc>
          <w:tcPr>
            <w:tcW w:w="651" w:type="dxa"/>
            <w:vMerge/>
            <w:vAlign w:val="center"/>
          </w:tcPr>
          <w:p w:rsidR="00AD7E73" w:rsidRDefault="00AD7E73" w:rsidP="00CE376B">
            <w:pPr>
              <w:spacing w:line="280" w:lineRule="exact"/>
              <w:jc w:val="center"/>
              <w:rPr>
                <w:rFonts w:eastAsia="楷体_GB2312"/>
                <w:sz w:val="21"/>
                <w:szCs w:val="21"/>
              </w:rPr>
            </w:pPr>
          </w:p>
        </w:tc>
        <w:tc>
          <w:tcPr>
            <w:tcW w:w="646" w:type="dxa"/>
            <w:vMerge/>
            <w:vAlign w:val="center"/>
          </w:tcPr>
          <w:p w:rsidR="00AD7E73" w:rsidRDefault="00AD7E73" w:rsidP="00CE376B">
            <w:pPr>
              <w:spacing w:line="280" w:lineRule="exact"/>
              <w:jc w:val="left"/>
              <w:rPr>
                <w:rFonts w:eastAsia="楷体_GB2312"/>
                <w:snapToGrid w:val="0"/>
                <w:kern w:val="0"/>
                <w:sz w:val="21"/>
                <w:szCs w:val="21"/>
              </w:rPr>
            </w:pPr>
          </w:p>
        </w:tc>
        <w:tc>
          <w:tcPr>
            <w:tcW w:w="4022" w:type="dxa"/>
            <w:vAlign w:val="center"/>
          </w:tcPr>
          <w:p w:rsidR="00AD7E73" w:rsidRDefault="00AD7E73" w:rsidP="00CE376B">
            <w:pPr>
              <w:spacing w:line="280" w:lineRule="exact"/>
              <w:jc w:val="left"/>
              <w:rPr>
                <w:rFonts w:eastAsia="楷体_GB2312"/>
                <w:snapToGrid w:val="0"/>
                <w:kern w:val="0"/>
                <w:sz w:val="21"/>
                <w:szCs w:val="21"/>
              </w:rPr>
            </w:pPr>
            <w:r>
              <w:rPr>
                <w:rFonts w:eastAsia="楷体_GB2312"/>
                <w:snapToGrid w:val="0"/>
                <w:kern w:val="0"/>
                <w:sz w:val="21"/>
                <w:szCs w:val="21"/>
              </w:rPr>
              <w:t>韶关凡口铅锌矿周边铅、镉排放量削减率（</w:t>
            </w:r>
            <w:r>
              <w:rPr>
                <w:rFonts w:eastAsia="楷体_GB2312"/>
                <w:snapToGrid w:val="0"/>
                <w:kern w:val="0"/>
                <w:sz w:val="21"/>
                <w:szCs w:val="21"/>
              </w:rPr>
              <w:t>%</w:t>
            </w:r>
            <w:r>
              <w:rPr>
                <w:rFonts w:eastAsia="楷体_GB2312"/>
                <w:snapToGrid w:val="0"/>
                <w:kern w:val="0"/>
                <w:sz w:val="21"/>
                <w:szCs w:val="21"/>
              </w:rPr>
              <w:t>）</w:t>
            </w:r>
          </w:p>
        </w:tc>
        <w:tc>
          <w:tcPr>
            <w:tcW w:w="1618"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27.5</w:t>
            </w:r>
            <w:r>
              <w:rPr>
                <w:rFonts w:eastAsia="楷体_GB2312"/>
                <w:sz w:val="21"/>
                <w:szCs w:val="21"/>
              </w:rPr>
              <w:t>（铅）、</w:t>
            </w:r>
          </w:p>
          <w:p w:rsidR="00AD7E73" w:rsidRDefault="00AD7E73" w:rsidP="00CE376B">
            <w:pPr>
              <w:spacing w:line="280" w:lineRule="exact"/>
              <w:jc w:val="center"/>
              <w:rPr>
                <w:rFonts w:eastAsia="楷体_GB2312"/>
                <w:sz w:val="21"/>
                <w:szCs w:val="21"/>
              </w:rPr>
            </w:pPr>
            <w:r>
              <w:rPr>
                <w:rFonts w:eastAsia="楷体_GB2312"/>
                <w:sz w:val="21"/>
                <w:szCs w:val="21"/>
              </w:rPr>
              <w:t>32.9</w:t>
            </w:r>
            <w:r>
              <w:rPr>
                <w:rFonts w:eastAsia="楷体_GB2312"/>
                <w:sz w:val="21"/>
                <w:szCs w:val="21"/>
              </w:rPr>
              <w:t>（镉）</w:t>
            </w:r>
          </w:p>
        </w:tc>
        <w:tc>
          <w:tcPr>
            <w:tcW w:w="1050"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15</w:t>
            </w:r>
          </w:p>
        </w:tc>
        <w:tc>
          <w:tcPr>
            <w:tcW w:w="954"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完成</w:t>
            </w:r>
          </w:p>
        </w:tc>
      </w:tr>
      <w:tr w:rsidR="00AD7E73" w:rsidTr="00CE376B">
        <w:trPr>
          <w:trHeight w:val="363"/>
          <w:jc w:val="center"/>
        </w:trPr>
        <w:tc>
          <w:tcPr>
            <w:tcW w:w="749" w:type="dxa"/>
            <w:vAlign w:val="center"/>
          </w:tcPr>
          <w:p w:rsidR="00AD7E73" w:rsidRDefault="00AD7E73" w:rsidP="00CE376B">
            <w:pPr>
              <w:spacing w:line="280" w:lineRule="exact"/>
              <w:jc w:val="center"/>
              <w:rPr>
                <w:rFonts w:eastAsia="楷体_GB2312"/>
                <w:snapToGrid w:val="0"/>
                <w:kern w:val="0"/>
                <w:sz w:val="21"/>
                <w:szCs w:val="21"/>
              </w:rPr>
            </w:pPr>
            <w:r>
              <w:rPr>
                <w:rFonts w:eastAsia="楷体_GB2312"/>
                <w:snapToGrid w:val="0"/>
                <w:kern w:val="0"/>
                <w:sz w:val="21"/>
                <w:szCs w:val="21"/>
              </w:rPr>
              <w:t>5</w:t>
            </w:r>
          </w:p>
        </w:tc>
        <w:tc>
          <w:tcPr>
            <w:tcW w:w="651" w:type="dxa"/>
            <w:vMerge/>
            <w:vAlign w:val="center"/>
          </w:tcPr>
          <w:p w:rsidR="00AD7E73" w:rsidRDefault="00AD7E73" w:rsidP="00CE376B">
            <w:pPr>
              <w:spacing w:line="280" w:lineRule="exact"/>
              <w:jc w:val="center"/>
              <w:rPr>
                <w:rFonts w:eastAsia="楷体_GB2312"/>
                <w:sz w:val="21"/>
                <w:szCs w:val="21"/>
              </w:rPr>
            </w:pPr>
          </w:p>
        </w:tc>
        <w:tc>
          <w:tcPr>
            <w:tcW w:w="646" w:type="dxa"/>
            <w:vMerge/>
            <w:vAlign w:val="center"/>
          </w:tcPr>
          <w:p w:rsidR="00AD7E73" w:rsidRDefault="00AD7E73" w:rsidP="00CE376B">
            <w:pPr>
              <w:spacing w:line="280" w:lineRule="exact"/>
              <w:jc w:val="left"/>
              <w:rPr>
                <w:rFonts w:eastAsia="楷体_GB2312"/>
                <w:snapToGrid w:val="0"/>
                <w:kern w:val="0"/>
                <w:sz w:val="21"/>
                <w:szCs w:val="21"/>
              </w:rPr>
            </w:pPr>
          </w:p>
        </w:tc>
        <w:tc>
          <w:tcPr>
            <w:tcW w:w="4022" w:type="dxa"/>
            <w:vAlign w:val="center"/>
          </w:tcPr>
          <w:p w:rsidR="00AD7E73" w:rsidRDefault="00AD7E73" w:rsidP="00CE376B">
            <w:pPr>
              <w:spacing w:line="280" w:lineRule="exact"/>
              <w:jc w:val="left"/>
              <w:rPr>
                <w:rFonts w:eastAsia="楷体_GB2312"/>
                <w:snapToGrid w:val="0"/>
                <w:kern w:val="0"/>
                <w:sz w:val="21"/>
                <w:szCs w:val="21"/>
              </w:rPr>
            </w:pPr>
            <w:r>
              <w:rPr>
                <w:rFonts w:eastAsia="楷体_GB2312"/>
                <w:snapToGrid w:val="0"/>
                <w:kern w:val="0"/>
                <w:sz w:val="21"/>
                <w:szCs w:val="21"/>
              </w:rPr>
              <w:t>韶关浈江区铅、镉、砷排放量削减率（</w:t>
            </w:r>
            <w:r>
              <w:rPr>
                <w:rFonts w:eastAsia="楷体_GB2312"/>
                <w:snapToGrid w:val="0"/>
                <w:kern w:val="0"/>
                <w:sz w:val="21"/>
                <w:szCs w:val="21"/>
              </w:rPr>
              <w:t>%</w:t>
            </w:r>
            <w:r>
              <w:rPr>
                <w:rFonts w:eastAsia="楷体_GB2312"/>
                <w:snapToGrid w:val="0"/>
                <w:kern w:val="0"/>
                <w:sz w:val="21"/>
                <w:szCs w:val="21"/>
              </w:rPr>
              <w:t>）</w:t>
            </w:r>
          </w:p>
        </w:tc>
        <w:tc>
          <w:tcPr>
            <w:tcW w:w="1618"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29.9</w:t>
            </w:r>
            <w:r>
              <w:rPr>
                <w:rFonts w:eastAsia="楷体_GB2312"/>
                <w:sz w:val="21"/>
                <w:szCs w:val="21"/>
              </w:rPr>
              <w:t>（铅）、</w:t>
            </w:r>
          </w:p>
          <w:p w:rsidR="00AD7E73" w:rsidRDefault="00AD7E73" w:rsidP="00CE376B">
            <w:pPr>
              <w:spacing w:line="280" w:lineRule="exact"/>
              <w:jc w:val="center"/>
              <w:rPr>
                <w:rFonts w:eastAsia="楷体_GB2312"/>
                <w:sz w:val="21"/>
                <w:szCs w:val="21"/>
              </w:rPr>
            </w:pPr>
            <w:r>
              <w:rPr>
                <w:rFonts w:eastAsia="楷体_GB2312"/>
                <w:sz w:val="21"/>
                <w:szCs w:val="21"/>
              </w:rPr>
              <w:t>29.4</w:t>
            </w:r>
            <w:r>
              <w:rPr>
                <w:rFonts w:eastAsia="楷体_GB2312"/>
                <w:sz w:val="21"/>
                <w:szCs w:val="21"/>
              </w:rPr>
              <w:t>（镉）、</w:t>
            </w:r>
          </w:p>
          <w:p w:rsidR="00AD7E73" w:rsidRDefault="00AD7E73" w:rsidP="00CE376B">
            <w:pPr>
              <w:spacing w:line="280" w:lineRule="exact"/>
              <w:jc w:val="center"/>
              <w:rPr>
                <w:rFonts w:eastAsia="楷体_GB2312"/>
                <w:sz w:val="21"/>
                <w:szCs w:val="21"/>
              </w:rPr>
            </w:pPr>
            <w:r>
              <w:rPr>
                <w:rFonts w:eastAsia="楷体_GB2312"/>
                <w:sz w:val="21"/>
                <w:szCs w:val="21"/>
              </w:rPr>
              <w:t>30.1</w:t>
            </w:r>
            <w:r>
              <w:rPr>
                <w:rFonts w:eastAsia="楷体_GB2312"/>
                <w:sz w:val="21"/>
                <w:szCs w:val="21"/>
              </w:rPr>
              <w:t>（砷）</w:t>
            </w:r>
          </w:p>
        </w:tc>
        <w:tc>
          <w:tcPr>
            <w:tcW w:w="1050"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15</w:t>
            </w:r>
          </w:p>
        </w:tc>
        <w:tc>
          <w:tcPr>
            <w:tcW w:w="954"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完成</w:t>
            </w:r>
          </w:p>
        </w:tc>
      </w:tr>
      <w:tr w:rsidR="00AD7E73" w:rsidTr="00CE376B">
        <w:trPr>
          <w:trHeight w:val="363"/>
          <w:jc w:val="center"/>
        </w:trPr>
        <w:tc>
          <w:tcPr>
            <w:tcW w:w="749" w:type="dxa"/>
            <w:vAlign w:val="center"/>
          </w:tcPr>
          <w:p w:rsidR="00AD7E73" w:rsidRDefault="00AD7E73" w:rsidP="00CE376B">
            <w:pPr>
              <w:spacing w:line="280" w:lineRule="exact"/>
              <w:jc w:val="center"/>
              <w:rPr>
                <w:rFonts w:eastAsia="楷体_GB2312"/>
                <w:snapToGrid w:val="0"/>
                <w:kern w:val="0"/>
                <w:sz w:val="21"/>
                <w:szCs w:val="21"/>
              </w:rPr>
            </w:pPr>
            <w:r>
              <w:rPr>
                <w:rFonts w:eastAsia="楷体_GB2312"/>
                <w:snapToGrid w:val="0"/>
                <w:kern w:val="0"/>
                <w:sz w:val="21"/>
                <w:szCs w:val="21"/>
              </w:rPr>
              <w:t>6</w:t>
            </w:r>
          </w:p>
        </w:tc>
        <w:tc>
          <w:tcPr>
            <w:tcW w:w="651" w:type="dxa"/>
            <w:vMerge/>
            <w:vAlign w:val="center"/>
          </w:tcPr>
          <w:p w:rsidR="00AD7E73" w:rsidRDefault="00AD7E73" w:rsidP="00CE376B">
            <w:pPr>
              <w:spacing w:line="280" w:lineRule="exact"/>
              <w:jc w:val="center"/>
              <w:rPr>
                <w:rFonts w:eastAsia="楷体_GB2312"/>
                <w:sz w:val="21"/>
                <w:szCs w:val="21"/>
              </w:rPr>
            </w:pPr>
          </w:p>
        </w:tc>
        <w:tc>
          <w:tcPr>
            <w:tcW w:w="646" w:type="dxa"/>
            <w:vMerge/>
            <w:vAlign w:val="center"/>
          </w:tcPr>
          <w:p w:rsidR="00AD7E73" w:rsidRDefault="00AD7E73" w:rsidP="00CE376B">
            <w:pPr>
              <w:spacing w:line="280" w:lineRule="exact"/>
              <w:jc w:val="left"/>
              <w:rPr>
                <w:rFonts w:eastAsia="楷体_GB2312"/>
                <w:snapToGrid w:val="0"/>
                <w:kern w:val="0"/>
                <w:sz w:val="21"/>
                <w:szCs w:val="21"/>
              </w:rPr>
            </w:pPr>
          </w:p>
        </w:tc>
        <w:tc>
          <w:tcPr>
            <w:tcW w:w="4022" w:type="dxa"/>
            <w:vAlign w:val="center"/>
          </w:tcPr>
          <w:p w:rsidR="00AD7E73" w:rsidRDefault="00AD7E73" w:rsidP="00CE376B">
            <w:pPr>
              <w:spacing w:line="280" w:lineRule="exact"/>
              <w:jc w:val="left"/>
              <w:rPr>
                <w:rFonts w:eastAsia="楷体_GB2312"/>
                <w:snapToGrid w:val="0"/>
                <w:kern w:val="0"/>
                <w:sz w:val="21"/>
                <w:szCs w:val="21"/>
              </w:rPr>
            </w:pPr>
            <w:r>
              <w:rPr>
                <w:rFonts w:eastAsia="楷体_GB2312"/>
                <w:snapToGrid w:val="0"/>
                <w:kern w:val="0"/>
                <w:sz w:val="21"/>
                <w:szCs w:val="21"/>
              </w:rPr>
              <w:t>韶关乐昌市铅、镉、砷排放量削减率（</w:t>
            </w:r>
            <w:r>
              <w:rPr>
                <w:rFonts w:eastAsia="楷体_GB2312"/>
                <w:snapToGrid w:val="0"/>
                <w:kern w:val="0"/>
                <w:sz w:val="21"/>
                <w:szCs w:val="21"/>
              </w:rPr>
              <w:t>%</w:t>
            </w:r>
            <w:r>
              <w:rPr>
                <w:rFonts w:eastAsia="楷体_GB2312"/>
                <w:snapToGrid w:val="0"/>
                <w:kern w:val="0"/>
                <w:sz w:val="21"/>
                <w:szCs w:val="21"/>
              </w:rPr>
              <w:t>）</w:t>
            </w:r>
          </w:p>
        </w:tc>
        <w:tc>
          <w:tcPr>
            <w:tcW w:w="1618"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29.5</w:t>
            </w:r>
            <w:r>
              <w:rPr>
                <w:rFonts w:eastAsia="楷体_GB2312"/>
                <w:sz w:val="21"/>
                <w:szCs w:val="21"/>
              </w:rPr>
              <w:t>（铅）、</w:t>
            </w:r>
          </w:p>
          <w:p w:rsidR="00AD7E73" w:rsidRDefault="00AD7E73" w:rsidP="00CE376B">
            <w:pPr>
              <w:spacing w:line="280" w:lineRule="exact"/>
              <w:jc w:val="center"/>
              <w:rPr>
                <w:rFonts w:eastAsia="楷体_GB2312"/>
                <w:sz w:val="21"/>
                <w:szCs w:val="21"/>
              </w:rPr>
            </w:pPr>
            <w:r>
              <w:rPr>
                <w:rFonts w:eastAsia="楷体_GB2312"/>
                <w:sz w:val="21"/>
                <w:szCs w:val="21"/>
              </w:rPr>
              <w:t>40.6</w:t>
            </w:r>
            <w:r>
              <w:rPr>
                <w:rFonts w:eastAsia="楷体_GB2312"/>
                <w:sz w:val="21"/>
                <w:szCs w:val="21"/>
              </w:rPr>
              <w:t>（镉）、</w:t>
            </w:r>
          </w:p>
          <w:p w:rsidR="00AD7E73" w:rsidRDefault="00AD7E73" w:rsidP="00CE376B">
            <w:pPr>
              <w:spacing w:line="280" w:lineRule="exact"/>
              <w:jc w:val="center"/>
              <w:rPr>
                <w:rFonts w:eastAsia="楷体_GB2312"/>
                <w:sz w:val="21"/>
                <w:szCs w:val="21"/>
              </w:rPr>
            </w:pPr>
            <w:r>
              <w:rPr>
                <w:rFonts w:eastAsia="楷体_GB2312"/>
                <w:sz w:val="21"/>
                <w:szCs w:val="21"/>
              </w:rPr>
              <w:t>42.0</w:t>
            </w:r>
            <w:r>
              <w:rPr>
                <w:rFonts w:eastAsia="楷体_GB2312"/>
                <w:sz w:val="21"/>
                <w:szCs w:val="21"/>
              </w:rPr>
              <w:t>（砷）</w:t>
            </w:r>
          </w:p>
        </w:tc>
        <w:tc>
          <w:tcPr>
            <w:tcW w:w="1050"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15</w:t>
            </w:r>
          </w:p>
        </w:tc>
        <w:tc>
          <w:tcPr>
            <w:tcW w:w="954"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完成</w:t>
            </w:r>
          </w:p>
        </w:tc>
      </w:tr>
      <w:tr w:rsidR="00AD7E73" w:rsidTr="00CE376B">
        <w:trPr>
          <w:trHeight w:val="363"/>
          <w:jc w:val="center"/>
        </w:trPr>
        <w:tc>
          <w:tcPr>
            <w:tcW w:w="749" w:type="dxa"/>
            <w:vAlign w:val="center"/>
          </w:tcPr>
          <w:p w:rsidR="00AD7E73" w:rsidRDefault="00AD7E73" w:rsidP="00CE376B">
            <w:pPr>
              <w:spacing w:line="280" w:lineRule="exact"/>
              <w:jc w:val="center"/>
              <w:rPr>
                <w:rFonts w:eastAsia="楷体_GB2312"/>
                <w:snapToGrid w:val="0"/>
                <w:kern w:val="0"/>
                <w:sz w:val="21"/>
                <w:szCs w:val="21"/>
              </w:rPr>
            </w:pPr>
            <w:r>
              <w:rPr>
                <w:rFonts w:eastAsia="楷体_GB2312"/>
                <w:snapToGrid w:val="0"/>
                <w:kern w:val="0"/>
                <w:sz w:val="21"/>
                <w:szCs w:val="21"/>
              </w:rPr>
              <w:t>7</w:t>
            </w:r>
          </w:p>
        </w:tc>
        <w:tc>
          <w:tcPr>
            <w:tcW w:w="651" w:type="dxa"/>
            <w:vMerge/>
            <w:vAlign w:val="center"/>
          </w:tcPr>
          <w:p w:rsidR="00AD7E73" w:rsidRDefault="00AD7E73" w:rsidP="00CE376B">
            <w:pPr>
              <w:spacing w:line="280" w:lineRule="exact"/>
              <w:jc w:val="center"/>
              <w:rPr>
                <w:rFonts w:eastAsia="楷体_GB2312"/>
                <w:sz w:val="21"/>
                <w:szCs w:val="21"/>
              </w:rPr>
            </w:pPr>
          </w:p>
        </w:tc>
        <w:tc>
          <w:tcPr>
            <w:tcW w:w="646" w:type="dxa"/>
            <w:vMerge/>
            <w:vAlign w:val="center"/>
          </w:tcPr>
          <w:p w:rsidR="00AD7E73" w:rsidRDefault="00AD7E73" w:rsidP="00CE376B">
            <w:pPr>
              <w:spacing w:line="280" w:lineRule="exact"/>
              <w:jc w:val="left"/>
              <w:rPr>
                <w:rFonts w:eastAsia="楷体_GB2312"/>
                <w:snapToGrid w:val="0"/>
                <w:kern w:val="0"/>
                <w:sz w:val="21"/>
                <w:szCs w:val="21"/>
              </w:rPr>
            </w:pPr>
          </w:p>
        </w:tc>
        <w:tc>
          <w:tcPr>
            <w:tcW w:w="4022" w:type="dxa"/>
            <w:vAlign w:val="center"/>
          </w:tcPr>
          <w:p w:rsidR="00AD7E73" w:rsidRDefault="00AD7E73" w:rsidP="00CE376B">
            <w:pPr>
              <w:spacing w:line="280" w:lineRule="exact"/>
              <w:jc w:val="left"/>
              <w:rPr>
                <w:rFonts w:eastAsia="楷体_GB2312"/>
                <w:snapToGrid w:val="0"/>
                <w:kern w:val="0"/>
                <w:sz w:val="21"/>
                <w:szCs w:val="21"/>
              </w:rPr>
            </w:pPr>
            <w:r>
              <w:rPr>
                <w:rFonts w:eastAsia="楷体_GB2312"/>
                <w:snapToGrid w:val="0"/>
                <w:kern w:val="0"/>
                <w:sz w:val="21"/>
                <w:szCs w:val="21"/>
              </w:rPr>
              <w:t>汕头潮阳区铅、镉排放量削减率（</w:t>
            </w:r>
            <w:r>
              <w:rPr>
                <w:rFonts w:eastAsia="楷体_GB2312"/>
                <w:snapToGrid w:val="0"/>
                <w:kern w:val="0"/>
                <w:sz w:val="21"/>
                <w:szCs w:val="21"/>
              </w:rPr>
              <w:t>%</w:t>
            </w:r>
            <w:r>
              <w:rPr>
                <w:rFonts w:eastAsia="楷体_GB2312"/>
                <w:snapToGrid w:val="0"/>
                <w:kern w:val="0"/>
                <w:sz w:val="21"/>
                <w:szCs w:val="21"/>
              </w:rPr>
              <w:t>）</w:t>
            </w:r>
          </w:p>
        </w:tc>
        <w:tc>
          <w:tcPr>
            <w:tcW w:w="1618"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70.2</w:t>
            </w:r>
            <w:r>
              <w:rPr>
                <w:rFonts w:eastAsia="楷体_GB2312"/>
                <w:sz w:val="21"/>
                <w:szCs w:val="21"/>
              </w:rPr>
              <w:t>（铅）、</w:t>
            </w:r>
          </w:p>
          <w:p w:rsidR="00AD7E73" w:rsidRDefault="00AD7E73" w:rsidP="00CE376B">
            <w:pPr>
              <w:spacing w:line="280" w:lineRule="exact"/>
              <w:jc w:val="center"/>
              <w:rPr>
                <w:rFonts w:eastAsia="楷体_GB2312"/>
                <w:sz w:val="21"/>
                <w:szCs w:val="21"/>
              </w:rPr>
            </w:pPr>
            <w:r>
              <w:rPr>
                <w:rFonts w:eastAsia="楷体_GB2312"/>
                <w:sz w:val="21"/>
                <w:szCs w:val="21"/>
              </w:rPr>
              <w:t>6.6</w:t>
            </w:r>
            <w:r>
              <w:rPr>
                <w:rFonts w:eastAsia="楷体_GB2312"/>
                <w:sz w:val="21"/>
                <w:szCs w:val="21"/>
              </w:rPr>
              <w:t>（镉）</w:t>
            </w:r>
          </w:p>
        </w:tc>
        <w:tc>
          <w:tcPr>
            <w:tcW w:w="1050"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15</w:t>
            </w:r>
          </w:p>
        </w:tc>
        <w:tc>
          <w:tcPr>
            <w:tcW w:w="954"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未完成（镉）</w:t>
            </w:r>
          </w:p>
        </w:tc>
      </w:tr>
      <w:tr w:rsidR="00AD7E73" w:rsidTr="00CE376B">
        <w:trPr>
          <w:trHeight w:val="363"/>
          <w:jc w:val="center"/>
        </w:trPr>
        <w:tc>
          <w:tcPr>
            <w:tcW w:w="749" w:type="dxa"/>
            <w:vAlign w:val="center"/>
          </w:tcPr>
          <w:p w:rsidR="00AD7E73" w:rsidRDefault="00AD7E73" w:rsidP="00CE376B">
            <w:pPr>
              <w:spacing w:line="280" w:lineRule="exact"/>
              <w:jc w:val="center"/>
              <w:rPr>
                <w:rFonts w:eastAsia="楷体_GB2312"/>
                <w:snapToGrid w:val="0"/>
                <w:kern w:val="0"/>
                <w:sz w:val="21"/>
                <w:szCs w:val="21"/>
              </w:rPr>
            </w:pPr>
            <w:r>
              <w:rPr>
                <w:rFonts w:eastAsia="楷体_GB2312"/>
                <w:snapToGrid w:val="0"/>
                <w:kern w:val="0"/>
                <w:sz w:val="21"/>
                <w:szCs w:val="21"/>
              </w:rPr>
              <w:t>8</w:t>
            </w:r>
          </w:p>
        </w:tc>
        <w:tc>
          <w:tcPr>
            <w:tcW w:w="651" w:type="dxa"/>
            <w:vMerge/>
            <w:vAlign w:val="center"/>
          </w:tcPr>
          <w:p w:rsidR="00AD7E73" w:rsidRDefault="00AD7E73" w:rsidP="00CE376B">
            <w:pPr>
              <w:spacing w:line="280" w:lineRule="exact"/>
              <w:jc w:val="center"/>
              <w:rPr>
                <w:rFonts w:eastAsia="楷体_GB2312"/>
                <w:sz w:val="21"/>
                <w:szCs w:val="21"/>
              </w:rPr>
            </w:pPr>
          </w:p>
        </w:tc>
        <w:tc>
          <w:tcPr>
            <w:tcW w:w="646" w:type="dxa"/>
            <w:vMerge/>
            <w:vAlign w:val="center"/>
          </w:tcPr>
          <w:p w:rsidR="00AD7E73" w:rsidRDefault="00AD7E73" w:rsidP="00CE376B">
            <w:pPr>
              <w:spacing w:line="280" w:lineRule="exact"/>
              <w:jc w:val="left"/>
              <w:rPr>
                <w:rFonts w:eastAsia="楷体_GB2312"/>
                <w:snapToGrid w:val="0"/>
                <w:kern w:val="0"/>
                <w:sz w:val="21"/>
                <w:szCs w:val="21"/>
              </w:rPr>
            </w:pPr>
          </w:p>
        </w:tc>
        <w:tc>
          <w:tcPr>
            <w:tcW w:w="4022" w:type="dxa"/>
            <w:vAlign w:val="center"/>
          </w:tcPr>
          <w:p w:rsidR="00AD7E73" w:rsidRDefault="00AD7E73" w:rsidP="00CE376B">
            <w:pPr>
              <w:spacing w:line="280" w:lineRule="exact"/>
              <w:jc w:val="left"/>
              <w:rPr>
                <w:rFonts w:eastAsia="楷体_GB2312"/>
                <w:snapToGrid w:val="0"/>
                <w:kern w:val="0"/>
                <w:sz w:val="21"/>
                <w:szCs w:val="21"/>
              </w:rPr>
            </w:pPr>
            <w:r>
              <w:rPr>
                <w:rFonts w:eastAsia="楷体_GB2312"/>
                <w:snapToGrid w:val="0"/>
                <w:kern w:val="0"/>
                <w:sz w:val="21"/>
                <w:szCs w:val="21"/>
              </w:rPr>
              <w:t>清远清城区铅排放量削减率（</w:t>
            </w:r>
            <w:r>
              <w:rPr>
                <w:rFonts w:eastAsia="楷体_GB2312"/>
                <w:snapToGrid w:val="0"/>
                <w:kern w:val="0"/>
                <w:sz w:val="21"/>
                <w:szCs w:val="21"/>
              </w:rPr>
              <w:t>%</w:t>
            </w:r>
            <w:r>
              <w:rPr>
                <w:rFonts w:eastAsia="楷体_GB2312"/>
                <w:snapToGrid w:val="0"/>
                <w:kern w:val="0"/>
                <w:sz w:val="21"/>
                <w:szCs w:val="21"/>
              </w:rPr>
              <w:t>）</w:t>
            </w:r>
          </w:p>
        </w:tc>
        <w:tc>
          <w:tcPr>
            <w:tcW w:w="1618"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34</w:t>
            </w:r>
          </w:p>
        </w:tc>
        <w:tc>
          <w:tcPr>
            <w:tcW w:w="1050"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15</w:t>
            </w:r>
          </w:p>
        </w:tc>
        <w:tc>
          <w:tcPr>
            <w:tcW w:w="954"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完成</w:t>
            </w:r>
          </w:p>
        </w:tc>
      </w:tr>
      <w:tr w:rsidR="00AD7E73" w:rsidTr="00CE376B">
        <w:trPr>
          <w:trHeight w:val="363"/>
          <w:jc w:val="center"/>
        </w:trPr>
        <w:tc>
          <w:tcPr>
            <w:tcW w:w="749" w:type="dxa"/>
            <w:vAlign w:val="center"/>
          </w:tcPr>
          <w:p w:rsidR="00AD7E73" w:rsidRDefault="00AD7E73" w:rsidP="00CE376B">
            <w:pPr>
              <w:spacing w:line="280" w:lineRule="exact"/>
              <w:jc w:val="center"/>
              <w:rPr>
                <w:rFonts w:eastAsia="楷体_GB2312"/>
                <w:snapToGrid w:val="0"/>
                <w:kern w:val="0"/>
                <w:sz w:val="21"/>
                <w:szCs w:val="21"/>
              </w:rPr>
            </w:pPr>
            <w:r>
              <w:rPr>
                <w:rFonts w:eastAsia="楷体_GB2312"/>
                <w:snapToGrid w:val="0"/>
                <w:kern w:val="0"/>
                <w:sz w:val="21"/>
                <w:szCs w:val="21"/>
              </w:rPr>
              <w:t>9</w:t>
            </w:r>
          </w:p>
        </w:tc>
        <w:tc>
          <w:tcPr>
            <w:tcW w:w="651" w:type="dxa"/>
            <w:vMerge/>
            <w:vAlign w:val="center"/>
          </w:tcPr>
          <w:p w:rsidR="00AD7E73" w:rsidRDefault="00AD7E73" w:rsidP="00CE376B">
            <w:pPr>
              <w:spacing w:line="280" w:lineRule="exact"/>
              <w:jc w:val="center"/>
              <w:rPr>
                <w:rFonts w:eastAsia="楷体_GB2312"/>
                <w:sz w:val="21"/>
                <w:szCs w:val="21"/>
              </w:rPr>
            </w:pPr>
          </w:p>
        </w:tc>
        <w:tc>
          <w:tcPr>
            <w:tcW w:w="4668" w:type="dxa"/>
            <w:gridSpan w:val="2"/>
            <w:vAlign w:val="center"/>
          </w:tcPr>
          <w:p w:rsidR="00AD7E73" w:rsidRDefault="00AD7E73" w:rsidP="00CE376B">
            <w:pPr>
              <w:spacing w:line="280" w:lineRule="exact"/>
              <w:jc w:val="left"/>
              <w:rPr>
                <w:rFonts w:eastAsia="楷体_GB2312"/>
                <w:snapToGrid w:val="0"/>
                <w:kern w:val="0"/>
                <w:sz w:val="21"/>
                <w:szCs w:val="21"/>
              </w:rPr>
            </w:pPr>
            <w:r>
              <w:rPr>
                <w:rFonts w:eastAsia="楷体_GB2312"/>
                <w:snapToGrid w:val="0"/>
                <w:kern w:val="0"/>
                <w:sz w:val="21"/>
                <w:szCs w:val="21"/>
              </w:rPr>
              <w:t>非重点区域重点重金属排放量削减率（</w:t>
            </w:r>
            <w:r>
              <w:rPr>
                <w:rFonts w:eastAsia="楷体_GB2312"/>
                <w:snapToGrid w:val="0"/>
                <w:kern w:val="0"/>
                <w:sz w:val="21"/>
                <w:szCs w:val="21"/>
              </w:rPr>
              <w:t>%</w:t>
            </w:r>
            <w:r>
              <w:rPr>
                <w:rFonts w:eastAsia="楷体_GB2312"/>
                <w:snapToGrid w:val="0"/>
                <w:kern w:val="0"/>
                <w:sz w:val="21"/>
                <w:szCs w:val="21"/>
              </w:rPr>
              <w:t>）</w:t>
            </w:r>
          </w:p>
        </w:tc>
        <w:tc>
          <w:tcPr>
            <w:tcW w:w="1618"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17.0</w:t>
            </w:r>
            <w:r>
              <w:rPr>
                <w:rFonts w:eastAsia="楷体_GB2312"/>
                <w:sz w:val="21"/>
                <w:szCs w:val="21"/>
              </w:rPr>
              <w:t>（铅）、</w:t>
            </w:r>
          </w:p>
          <w:p w:rsidR="00AD7E73" w:rsidRDefault="00AD7E73" w:rsidP="00CE376B">
            <w:pPr>
              <w:spacing w:line="280" w:lineRule="exact"/>
              <w:jc w:val="center"/>
              <w:rPr>
                <w:rFonts w:eastAsia="楷体_GB2312"/>
                <w:sz w:val="21"/>
                <w:szCs w:val="21"/>
              </w:rPr>
            </w:pPr>
            <w:r>
              <w:rPr>
                <w:rFonts w:eastAsia="楷体_GB2312"/>
                <w:sz w:val="21"/>
                <w:szCs w:val="21"/>
              </w:rPr>
              <w:t>30.7</w:t>
            </w:r>
            <w:r>
              <w:rPr>
                <w:rFonts w:eastAsia="楷体_GB2312"/>
                <w:sz w:val="21"/>
                <w:szCs w:val="21"/>
              </w:rPr>
              <w:t>（汞）、</w:t>
            </w:r>
          </w:p>
          <w:p w:rsidR="00AD7E73" w:rsidRDefault="00AD7E73" w:rsidP="00CE376B">
            <w:pPr>
              <w:spacing w:line="280" w:lineRule="exact"/>
              <w:jc w:val="center"/>
              <w:rPr>
                <w:rFonts w:eastAsia="楷体_GB2312"/>
                <w:sz w:val="21"/>
                <w:szCs w:val="21"/>
              </w:rPr>
            </w:pPr>
            <w:r>
              <w:rPr>
                <w:rFonts w:eastAsia="楷体_GB2312"/>
                <w:sz w:val="21"/>
                <w:szCs w:val="21"/>
              </w:rPr>
              <w:t>8.8</w:t>
            </w:r>
            <w:r>
              <w:rPr>
                <w:rFonts w:eastAsia="楷体_GB2312"/>
                <w:sz w:val="21"/>
                <w:szCs w:val="21"/>
              </w:rPr>
              <w:t>（镉）、</w:t>
            </w:r>
          </w:p>
          <w:p w:rsidR="00AD7E73" w:rsidRDefault="00AD7E73" w:rsidP="00CE376B">
            <w:pPr>
              <w:spacing w:line="280" w:lineRule="exact"/>
              <w:jc w:val="center"/>
              <w:rPr>
                <w:rFonts w:eastAsia="楷体_GB2312"/>
                <w:sz w:val="21"/>
                <w:szCs w:val="21"/>
              </w:rPr>
            </w:pPr>
            <w:r>
              <w:rPr>
                <w:rFonts w:eastAsia="楷体_GB2312"/>
                <w:sz w:val="21"/>
                <w:szCs w:val="21"/>
              </w:rPr>
              <w:t>13.6</w:t>
            </w:r>
            <w:r>
              <w:rPr>
                <w:rFonts w:eastAsia="楷体_GB2312"/>
                <w:sz w:val="21"/>
                <w:szCs w:val="21"/>
              </w:rPr>
              <w:t>（铬）和</w:t>
            </w:r>
          </w:p>
          <w:p w:rsidR="00AD7E73" w:rsidRDefault="00AD7E73" w:rsidP="00CE376B">
            <w:pPr>
              <w:spacing w:line="280" w:lineRule="exact"/>
              <w:jc w:val="center"/>
              <w:rPr>
                <w:rFonts w:eastAsia="楷体_GB2312"/>
                <w:sz w:val="21"/>
                <w:szCs w:val="21"/>
              </w:rPr>
            </w:pPr>
            <w:r>
              <w:rPr>
                <w:rFonts w:eastAsia="楷体_GB2312"/>
                <w:sz w:val="21"/>
                <w:szCs w:val="21"/>
              </w:rPr>
              <w:t>28.4</w:t>
            </w:r>
            <w:r>
              <w:rPr>
                <w:rFonts w:eastAsia="楷体_GB2312"/>
                <w:sz w:val="21"/>
                <w:szCs w:val="21"/>
              </w:rPr>
              <w:t>（砷）</w:t>
            </w:r>
          </w:p>
        </w:tc>
        <w:tc>
          <w:tcPr>
            <w:tcW w:w="1050"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0</w:t>
            </w:r>
          </w:p>
        </w:tc>
        <w:tc>
          <w:tcPr>
            <w:tcW w:w="954" w:type="dxa"/>
            <w:vAlign w:val="center"/>
          </w:tcPr>
          <w:p w:rsidR="00AD7E73" w:rsidRDefault="00AD7E73" w:rsidP="00CE376B">
            <w:pPr>
              <w:spacing w:line="280" w:lineRule="exact"/>
              <w:jc w:val="center"/>
              <w:rPr>
                <w:rFonts w:eastAsia="楷体_GB2312"/>
                <w:sz w:val="21"/>
                <w:szCs w:val="21"/>
              </w:rPr>
            </w:pPr>
            <w:r>
              <w:rPr>
                <w:rFonts w:eastAsia="楷体_GB2312"/>
                <w:sz w:val="21"/>
                <w:szCs w:val="21"/>
              </w:rPr>
              <w:t>完成</w:t>
            </w:r>
          </w:p>
        </w:tc>
      </w:tr>
    </w:tbl>
    <w:p w:rsidR="00AD7E73" w:rsidRDefault="00AD7E73" w:rsidP="00AD7E73">
      <w:pPr>
        <w:ind w:firstLineChars="200" w:firstLine="632"/>
      </w:pPr>
    </w:p>
    <w:p w:rsidR="00AD7E73" w:rsidRDefault="00AD7E73" w:rsidP="00AD7E73">
      <w:pPr>
        <w:ind w:firstLineChars="200" w:firstLine="632"/>
        <w:rPr>
          <w:rFonts w:ascii="楷体_GB2312" w:eastAsia="楷体_GB2312" w:hAnsi="楷体_GB2312" w:cs="楷体_GB2312" w:hint="eastAsia"/>
        </w:rPr>
      </w:pPr>
      <w:bookmarkStart w:id="6" w:name="_Toc468951532"/>
      <w:bookmarkStart w:id="7" w:name="_Toc4672"/>
      <w:bookmarkStart w:id="8" w:name="_Toc24706"/>
      <w:r>
        <w:rPr>
          <w:rFonts w:ascii="楷体_GB2312" w:eastAsia="楷体_GB2312" w:hAnsi="楷体_GB2312" w:cs="楷体_GB2312" w:hint="eastAsia"/>
        </w:rPr>
        <w:t>（二）主要经验与做法</w:t>
      </w:r>
      <w:bookmarkEnd w:id="6"/>
      <w:bookmarkEnd w:id="7"/>
      <w:bookmarkEnd w:id="8"/>
      <w:r>
        <w:rPr>
          <w:rFonts w:ascii="楷体_GB2312" w:eastAsia="楷体_GB2312" w:hAnsi="楷体_GB2312" w:cs="楷体_GB2312" w:hint="eastAsia"/>
        </w:rPr>
        <w:t>。</w:t>
      </w:r>
    </w:p>
    <w:p w:rsidR="00AD7E73" w:rsidRDefault="00AD7E73" w:rsidP="00AD7E73">
      <w:pPr>
        <w:ind w:firstLineChars="200" w:firstLine="632"/>
      </w:pPr>
      <w:r>
        <w:rPr>
          <w:rFonts w:hint="eastAsia"/>
        </w:rPr>
        <w:t>省委、省政府高度重视重金属污染综合防治工作，以加快解决危害群众健康和影响生态环境的重金属遗留环境污染问题为突破口，大力推动涉重金属行业绿色发展，“十二五”期间，全省涉重金属行业在“控新治旧”、保持有序发展的同时，部分区域重金属污染环境质量明显改善，涉重金属突发环境污染事故得到有效遏制。主要经验做法有：</w:t>
      </w:r>
    </w:p>
    <w:p w:rsidR="00AD7E73" w:rsidRDefault="00AD7E73" w:rsidP="00AD7E73">
      <w:pPr>
        <w:ind w:firstLineChars="200" w:firstLine="632"/>
      </w:pPr>
      <w:bookmarkStart w:id="9" w:name="_Toc468951533"/>
      <w:r>
        <w:rPr>
          <w:rFonts w:hint="eastAsia"/>
        </w:rPr>
        <w:t>1</w:t>
      </w:r>
      <w:r>
        <w:rPr>
          <w:rFonts w:hint="eastAsia"/>
        </w:rPr>
        <w:t>．强化组织领导，重金属污染防治工作机制不断健全</w:t>
      </w:r>
      <w:bookmarkEnd w:id="9"/>
      <w:r>
        <w:rPr>
          <w:rFonts w:hint="eastAsia"/>
        </w:rPr>
        <w:t>。</w:t>
      </w:r>
    </w:p>
    <w:p w:rsidR="00AD7E73" w:rsidRDefault="00AD7E73" w:rsidP="00AD7E73">
      <w:pPr>
        <w:ind w:firstLineChars="200" w:firstLine="632"/>
      </w:pPr>
      <w:r>
        <w:rPr>
          <w:rFonts w:hint="eastAsia"/>
        </w:rPr>
        <w:lastRenderedPageBreak/>
        <w:t>省委、省政府高度重视重金属污染综合防治工作，统筹部署各项整治工作，加强对重金属污染防治工作的组织领导。省环境保护厅专门成立了重金属污染防治领导小组办公室，配置专职工作人员，负责协调各项工作；各地级以上市也建立了相应的重金属污染防治协调机制，健全相关工作制度，形成了政府统一协调、环保部门统一监管、各有关部门分工负责和紧密合作的重金属污染防治机制，为深入推进重金属污染防治工作提供了强有力的组织保障。</w:t>
      </w:r>
    </w:p>
    <w:p w:rsidR="00AD7E73" w:rsidRDefault="00AD7E73" w:rsidP="00AD7E73">
      <w:pPr>
        <w:ind w:firstLineChars="200" w:firstLine="632"/>
      </w:pPr>
      <w:bookmarkStart w:id="10" w:name="_Toc468951534"/>
      <w:r>
        <w:rPr>
          <w:rFonts w:hint="eastAsia"/>
        </w:rPr>
        <w:t>2</w:t>
      </w:r>
      <w:r>
        <w:rPr>
          <w:rFonts w:hint="eastAsia"/>
        </w:rPr>
        <w:t>．强化考核督办，一批突出历史遗留环境问题解决取得重大进展</w:t>
      </w:r>
      <w:bookmarkEnd w:id="10"/>
      <w:r>
        <w:rPr>
          <w:rFonts w:hint="eastAsia"/>
        </w:rPr>
        <w:t>。</w:t>
      </w:r>
    </w:p>
    <w:p w:rsidR="00AD7E73" w:rsidRDefault="00AD7E73" w:rsidP="00AD7E73">
      <w:pPr>
        <w:ind w:firstLineChars="200" w:firstLine="632"/>
      </w:pPr>
      <w:r>
        <w:rPr>
          <w:rFonts w:hint="eastAsia"/>
        </w:rPr>
        <w:t>每年组织召开全省重金属污染防治工作会议，明确重金属污染防治工作目标和分年度行动计划，督促各地积极推进重金属污染物减排。强化评估考核，省环境保护厅印发《关于贯彻落实重金属污染综合防治“十二五”规划实施考核工作的通知》，明确对各地级以上市规划实施情况进行考核，考核结果与广东省环保责任考核指标体系相衔接，对工作不力、进度滞后的市、县（区）及单位予以通报批评。根据《广东省重点环境问题挂牌督办管理暂行办法》，对重金属污染问题突出的地区挂牌督办，督促各有关政府和企业按照督办要求积极进行整改，对未完成督办任务的地级以上市政府进行约谈，切实推进重点难点问题的解决。通过层层立军令状、落实环保责任、定期督办，强势推进汕头贵屿、清远龙塘与石角环境污染综合整治工作，加强循环经济产业园区集</w:t>
      </w:r>
      <w:r>
        <w:rPr>
          <w:rFonts w:hint="eastAsia"/>
        </w:rPr>
        <w:lastRenderedPageBreak/>
        <w:t>中作业、企业化运营和园区化管理，初步建立了“统一规划、统一建设、统一运营、统一治污、统一监管”的管理模式，从根本上杜绝了家庭作坊式的拆解行为，分散式污染源得到有效控制，区域环境质量得到明显改善；加强对大宝山矿区及周边地区环境问题整治，成立了以分管副省长为组长的大宝山矿区及周边地区环境综合整治督导小组，通过控源截污、环境监管、饮用水保护和饮水工程、水土保持、生态修复、打击非法开采和区域预警体系建设等方面工作，推进区域环境综合整治，逐步有效解决沉疴积弊多年的历史遗留突出环境问题。</w:t>
      </w:r>
    </w:p>
    <w:p w:rsidR="00AD7E73" w:rsidRDefault="00AD7E73" w:rsidP="00AD7E73">
      <w:pPr>
        <w:ind w:firstLineChars="200" w:firstLine="632"/>
      </w:pPr>
      <w:bookmarkStart w:id="11" w:name="_Toc468951535"/>
      <w:r>
        <w:rPr>
          <w:rFonts w:hint="eastAsia"/>
        </w:rPr>
        <w:t>3</w:t>
      </w:r>
      <w:r>
        <w:rPr>
          <w:rFonts w:hint="eastAsia"/>
        </w:rPr>
        <w:t>．强化综合整治，涉重金属行业绿色发展水平显著提升</w:t>
      </w:r>
      <w:bookmarkEnd w:id="11"/>
      <w:r>
        <w:rPr>
          <w:rFonts w:hint="eastAsia"/>
        </w:rPr>
        <w:t>。</w:t>
      </w:r>
    </w:p>
    <w:p w:rsidR="00AD7E73" w:rsidRDefault="00AD7E73" w:rsidP="00AD7E73">
      <w:pPr>
        <w:ind w:firstLineChars="200" w:firstLine="632"/>
      </w:pPr>
      <w:r>
        <w:rPr>
          <w:rFonts w:hint="eastAsia"/>
        </w:rPr>
        <w:t>“十二五”期间，我省通过推进重点行业、重点区域的综合整治，以环保倒逼转型升级，在发展中解决环境问题，不断提升行业绿色发展水平。发布《广东省环境保护厅关于加强重点企业清洁生产管理工作的通知》，大力推进重点企业清洁生产，规范企业内部环境管理，推动产业技术进步，不断提高涉重金属行业清洁生产水平。开展铅酸蓄电池、电镀等重点行业专项整治，加快推进涉重金属企业治污设施升级改造，积极推进电镀等行业统一规划定点，完成江门崖门、博罗龙溪等一批环保电镀基地的建设，按照“关闭一批、提升一批、进园一批”的原则，倒逼现有电镀企业加快工艺改造升级，推动电镀企业入园，实现电镀行业转型升级。印发实施《韶关市涉重金属行业环境综合整治方案（</w:t>
      </w:r>
      <w:r>
        <w:rPr>
          <w:rFonts w:hint="eastAsia"/>
        </w:rPr>
        <w:t>2015-2020</w:t>
      </w:r>
      <w:r>
        <w:rPr>
          <w:rFonts w:hint="eastAsia"/>
        </w:rPr>
        <w:t>年）》，有力推动重点区域涉重金属行业绿色转型。</w:t>
      </w:r>
    </w:p>
    <w:p w:rsidR="00AD7E73" w:rsidRDefault="00AD7E73" w:rsidP="00AD7E73">
      <w:pPr>
        <w:ind w:firstLineChars="200" w:firstLine="632"/>
      </w:pPr>
      <w:bookmarkStart w:id="12" w:name="_Toc468951536"/>
      <w:r>
        <w:rPr>
          <w:rFonts w:hint="eastAsia"/>
        </w:rPr>
        <w:lastRenderedPageBreak/>
        <w:t>4</w:t>
      </w:r>
      <w:r>
        <w:rPr>
          <w:rFonts w:hint="eastAsia"/>
        </w:rPr>
        <w:t>．强化执法监督，环境监管能力不断加强</w:t>
      </w:r>
      <w:bookmarkEnd w:id="12"/>
      <w:r>
        <w:rPr>
          <w:rFonts w:hint="eastAsia"/>
        </w:rPr>
        <w:t>。</w:t>
      </w:r>
    </w:p>
    <w:p w:rsidR="00AD7E73" w:rsidRDefault="00AD7E73" w:rsidP="00AD7E73">
      <w:pPr>
        <w:ind w:firstLineChars="200" w:firstLine="632"/>
      </w:pPr>
      <w:r>
        <w:rPr>
          <w:rFonts w:hint="eastAsia"/>
        </w:rPr>
        <w:t>持续开展重金属污染专项整治行动，不断加大涉重落后产能淘汰力度，加快污染治理提标升级，强化环境执法监督，督促存在环境安全隐患的企业落实整改，严肃查处涉重金属企业各类环境违法行为。建立由省监察厅牵头，环保、公安、检察和法院联动的执法机制，佛山、韶关、顺德等</w:t>
      </w:r>
      <w:r>
        <w:rPr>
          <w:rFonts w:hint="eastAsia"/>
        </w:rPr>
        <w:t>8</w:t>
      </w:r>
      <w:r>
        <w:rPr>
          <w:rFonts w:hint="eastAsia"/>
        </w:rPr>
        <w:t>市（区）设立“环保警察”，顺德区设立“环保巡回法庭”，“两法衔接”得到强化，大大提高了环保执法威慑力和处置效率。推动重金属排放企业环境信息公开，引导公众积极参与重金属污染防治，督促企业建立重金属污染物产生、排放详细档案，落实企业环境保护主体责任，确保重金属污染物达标排放。</w:t>
      </w:r>
    </w:p>
    <w:p w:rsidR="00AD7E73" w:rsidRDefault="00AD7E73" w:rsidP="00AD7E73">
      <w:pPr>
        <w:ind w:firstLineChars="200" w:firstLine="632"/>
        <w:rPr>
          <w:rFonts w:ascii="楷体_GB2312" w:eastAsia="楷体_GB2312" w:hAnsi="楷体_GB2312" w:cs="楷体_GB2312" w:hint="eastAsia"/>
        </w:rPr>
      </w:pPr>
      <w:bookmarkStart w:id="13" w:name="_Toc468951537"/>
      <w:bookmarkStart w:id="14" w:name="_Toc7211"/>
      <w:bookmarkStart w:id="15" w:name="_Toc962"/>
      <w:r>
        <w:rPr>
          <w:rFonts w:ascii="楷体_GB2312" w:eastAsia="楷体_GB2312" w:hAnsi="楷体_GB2312" w:cs="楷体_GB2312" w:hint="eastAsia"/>
        </w:rPr>
        <w:t>（三）存在的主要问题</w:t>
      </w:r>
      <w:bookmarkEnd w:id="13"/>
      <w:bookmarkEnd w:id="14"/>
      <w:bookmarkEnd w:id="15"/>
      <w:r>
        <w:rPr>
          <w:rFonts w:ascii="楷体_GB2312" w:eastAsia="楷体_GB2312" w:hAnsi="楷体_GB2312" w:cs="楷体_GB2312" w:hint="eastAsia"/>
        </w:rPr>
        <w:t>。</w:t>
      </w:r>
    </w:p>
    <w:p w:rsidR="00AD7E73" w:rsidRDefault="00AD7E73" w:rsidP="00AD7E73">
      <w:pPr>
        <w:ind w:firstLineChars="200" w:firstLine="632"/>
      </w:pPr>
      <w:bookmarkStart w:id="16" w:name="_Toc468951538"/>
      <w:r>
        <w:rPr>
          <w:rFonts w:hint="eastAsia"/>
        </w:rPr>
        <w:t>1</w:t>
      </w:r>
      <w:r>
        <w:rPr>
          <w:rFonts w:hint="eastAsia"/>
        </w:rPr>
        <w:t>．产业布局不尽合理，部分区域重金属污染排放负荷大</w:t>
      </w:r>
      <w:bookmarkEnd w:id="16"/>
      <w:r>
        <w:rPr>
          <w:rFonts w:hint="eastAsia"/>
        </w:rPr>
        <w:t>。</w:t>
      </w:r>
    </w:p>
    <w:p w:rsidR="00AD7E73" w:rsidRDefault="00AD7E73" w:rsidP="00AD7E73">
      <w:pPr>
        <w:ind w:firstLineChars="200" w:firstLine="632"/>
      </w:pPr>
      <w:r>
        <w:rPr>
          <w:rFonts w:hint="eastAsia"/>
        </w:rPr>
        <w:t>由于历史原因、经济社会快速发展和城市扩张等因素，全省涉重金属排放企业总体布局不尽合理，仍有部分企业位于生态严控区内，部分企业厂址与城市发展规划不协调，部分企业与附近居民点、学校等环境敏感目标防护距离不足。统计数据显示，约有</w:t>
      </w:r>
      <w:r>
        <w:t>16%</w:t>
      </w:r>
      <w:r>
        <w:rPr>
          <w:rFonts w:hint="eastAsia"/>
        </w:rPr>
        <w:t>的国家重点监</w:t>
      </w:r>
      <w:r>
        <w:t>控</w:t>
      </w:r>
      <w:r>
        <w:rPr>
          <w:rFonts w:hint="eastAsia"/>
        </w:rPr>
        <w:t>涉重</w:t>
      </w:r>
      <w:r>
        <w:t>企业</w:t>
      </w:r>
      <w:r>
        <w:rPr>
          <w:rFonts w:hint="eastAsia"/>
        </w:rPr>
        <w:t>周边</w:t>
      </w:r>
      <w:r>
        <w:t>1</w:t>
      </w:r>
      <w:r>
        <w:rPr>
          <w:rFonts w:hint="eastAsia"/>
        </w:rPr>
        <w:t>公里</w:t>
      </w:r>
      <w:r>
        <w:t>之内存在环境</w:t>
      </w:r>
      <w:r>
        <w:rPr>
          <w:rFonts w:hint="eastAsia"/>
        </w:rPr>
        <w:t>敏感点和环境风险隐患。局部地区涉重金属行业缺乏统一规划，涉重金属企业量多面广，造成区域性重金属污染严重态势。比如电镀行业，约有</w:t>
      </w:r>
      <w:r>
        <w:rPr>
          <w:rFonts w:hint="eastAsia"/>
        </w:rPr>
        <w:t>90%</w:t>
      </w:r>
      <w:r>
        <w:rPr>
          <w:rFonts w:hint="eastAsia"/>
        </w:rPr>
        <w:t>的企业分布在珠三角地区，</w:t>
      </w:r>
      <w:r>
        <w:rPr>
          <w:rFonts w:hint="eastAsia"/>
        </w:rPr>
        <w:t>2015</w:t>
      </w:r>
      <w:r>
        <w:rPr>
          <w:rFonts w:hint="eastAsia"/>
        </w:rPr>
        <w:t>年珠三角地区铬排放量占全省铬排放总量的</w:t>
      </w:r>
      <w:r>
        <w:rPr>
          <w:rFonts w:hint="eastAsia"/>
        </w:rPr>
        <w:t>71%</w:t>
      </w:r>
      <w:r>
        <w:rPr>
          <w:rFonts w:hint="eastAsia"/>
        </w:rPr>
        <w:t>；铅锌冶炼行业主要集中在韶关市，</w:t>
      </w:r>
      <w:r>
        <w:rPr>
          <w:rFonts w:hint="eastAsia"/>
        </w:rPr>
        <w:lastRenderedPageBreak/>
        <w:t>2015</w:t>
      </w:r>
      <w:r>
        <w:rPr>
          <w:rFonts w:hint="eastAsia"/>
        </w:rPr>
        <w:t>年韶关市铅锌冶炼企业的铅排放量约占全省总排放量的</w:t>
      </w:r>
      <w:r>
        <w:rPr>
          <w:rFonts w:hint="eastAsia"/>
        </w:rPr>
        <w:t>66%</w:t>
      </w:r>
      <w:r>
        <w:rPr>
          <w:rFonts w:hint="eastAsia"/>
        </w:rPr>
        <w:t>，重金属污染负荷较高。</w:t>
      </w:r>
    </w:p>
    <w:p w:rsidR="00AD7E73" w:rsidRDefault="00AD7E73" w:rsidP="00AD7E73">
      <w:pPr>
        <w:ind w:firstLineChars="200" w:firstLine="632"/>
      </w:pPr>
      <w:bookmarkStart w:id="17" w:name="_Toc468951539"/>
      <w:r>
        <w:rPr>
          <w:rFonts w:hint="eastAsia"/>
        </w:rPr>
        <w:t>2</w:t>
      </w:r>
      <w:r>
        <w:rPr>
          <w:rFonts w:hint="eastAsia"/>
        </w:rPr>
        <w:t>．综合防控能力不足，环境治理水平有待提升</w:t>
      </w:r>
      <w:bookmarkEnd w:id="17"/>
      <w:r>
        <w:rPr>
          <w:rFonts w:hint="eastAsia"/>
        </w:rPr>
        <w:t>。</w:t>
      </w:r>
    </w:p>
    <w:p w:rsidR="00AD7E73" w:rsidRDefault="00AD7E73" w:rsidP="00AD7E73">
      <w:pPr>
        <w:ind w:firstLineChars="200" w:firstLine="632"/>
      </w:pPr>
      <w:r>
        <w:rPr>
          <w:rFonts w:hint="eastAsia"/>
        </w:rPr>
        <w:t>全省涉重金属企业主要以中小企业为主，生产工艺相对落后，</w:t>
      </w:r>
      <w:r>
        <w:rPr>
          <w:rFonts w:hint="eastAsia"/>
        </w:rPr>
        <w:t>2015</w:t>
      </w:r>
      <w:r>
        <w:rPr>
          <w:rFonts w:hint="eastAsia"/>
        </w:rPr>
        <w:t>年全省约</w:t>
      </w:r>
      <w:r>
        <w:rPr>
          <w:rFonts w:hint="eastAsia"/>
        </w:rPr>
        <w:t>66%</w:t>
      </w:r>
      <w:r>
        <w:rPr>
          <w:rFonts w:hint="eastAsia"/>
        </w:rPr>
        <w:t>的涉重金属企业废水处理方式采用简单的化学沉淀工艺，废气重金属治理设施建设相对滞后，无组织排放现象较为突出。除江门崖门电镀基地、惠州龙溪电镀基地外，部分涉重工业园存在污染治理设施老化、处理工艺落后，废水分流收集体系不完善，规范化管理建设滞后等问题，园区（基地）污染综合防控能力不足。此外，企业和园区（基地）风险防控主体责任尚未完全有效落实，污染治理设施运行水平较低，危险废物产生单位自行利用处置情况未纳入有效监管范畴，环境风险管控水平亟待提升。</w:t>
      </w:r>
    </w:p>
    <w:p w:rsidR="00AD7E73" w:rsidRDefault="00AD7E73" w:rsidP="00AD7E73">
      <w:pPr>
        <w:ind w:firstLineChars="200" w:firstLine="632"/>
      </w:pPr>
      <w:bookmarkStart w:id="18" w:name="_Toc468951540"/>
      <w:r>
        <w:rPr>
          <w:rFonts w:hint="eastAsia"/>
        </w:rPr>
        <w:t>3</w:t>
      </w:r>
      <w:r>
        <w:rPr>
          <w:rFonts w:hint="eastAsia"/>
        </w:rPr>
        <w:t>．局部区域历史遗留问题尚未根除，整治任务依然艰巨</w:t>
      </w:r>
      <w:bookmarkEnd w:id="18"/>
      <w:r>
        <w:rPr>
          <w:rFonts w:hint="eastAsia"/>
        </w:rPr>
        <w:t>。</w:t>
      </w:r>
    </w:p>
    <w:p w:rsidR="00AD7E73" w:rsidRDefault="00AD7E73" w:rsidP="00AD7E73">
      <w:pPr>
        <w:ind w:firstLineChars="200" w:firstLine="632"/>
      </w:pPr>
      <w:r>
        <w:rPr>
          <w:rFonts w:hint="eastAsia"/>
        </w:rPr>
        <w:t>“十二五”期间，韶关大宝山、汕头贵屿等历史遗留问题取得阶段性成效，但是由于这些沉疴积弊是长时期累积的结果，很难在短时间内全面解决。目前，大宝山矿区及周边地区由于李屋拦泥库尾矿渣存放库容有限，雨季李屋拦泥坝污水尚不能得到完全处理，区域下游的横石水大桥断面铅、镉时有超标；汕头贵屿地区生态修复进展缓慢，重金属污染的河床底泥和酸洗废渣尚未彻底清理；清远龙塘、石角地区遗留积存的拆解废料和残渣尚未完全得到安全妥善处置，历史遗留场地土壤修复以及龙塘河、长</w:t>
      </w:r>
      <w:r>
        <w:rPr>
          <w:rFonts w:hint="eastAsia"/>
        </w:rPr>
        <w:lastRenderedPageBreak/>
        <w:t>冲河的生态修复进展有待加快推进，环境状况离人民群众的期盼还有差距，环境质量改善任务艰巨。</w:t>
      </w:r>
    </w:p>
    <w:p w:rsidR="00AD7E73" w:rsidRDefault="00AD7E73" w:rsidP="00AD7E73">
      <w:pPr>
        <w:ind w:firstLineChars="200" w:firstLine="632"/>
      </w:pPr>
      <w:bookmarkStart w:id="19" w:name="_Toc468951541"/>
      <w:r>
        <w:rPr>
          <w:rFonts w:hint="eastAsia"/>
        </w:rPr>
        <w:t>4</w:t>
      </w:r>
      <w:r>
        <w:rPr>
          <w:rFonts w:hint="eastAsia"/>
        </w:rPr>
        <w:t>．环境管理基础能力不足，难以适应新形势的需要</w:t>
      </w:r>
      <w:bookmarkEnd w:id="19"/>
      <w:r>
        <w:rPr>
          <w:rFonts w:hint="eastAsia"/>
        </w:rPr>
        <w:t>。</w:t>
      </w:r>
    </w:p>
    <w:p w:rsidR="00AD7E73" w:rsidRDefault="00AD7E73" w:rsidP="00AD7E73">
      <w:pPr>
        <w:ind w:firstLineChars="200" w:firstLine="632"/>
      </w:pPr>
      <w:r>
        <w:rPr>
          <w:rFonts w:hint="eastAsia"/>
        </w:rPr>
        <w:t>我省重金属监测能力仍较薄弱，截至</w:t>
      </w:r>
      <w:r>
        <w:rPr>
          <w:rFonts w:hint="eastAsia"/>
        </w:rPr>
        <w:t>2015</w:t>
      </w:r>
      <w:r>
        <w:rPr>
          <w:rFonts w:hint="eastAsia"/>
        </w:rPr>
        <w:t>年底，在大气重金属监测方面仍有</w:t>
      </w:r>
      <w:r>
        <w:rPr>
          <w:rFonts w:hint="eastAsia"/>
        </w:rPr>
        <w:t>8</w:t>
      </w:r>
      <w:r>
        <w:rPr>
          <w:rFonts w:hint="eastAsia"/>
        </w:rPr>
        <w:t>个市级站未能实现铅、汞、镉等主要重金属的全覆盖，尤其是阳江、云浮和揭阳市尚不具备大气重金属监测能力；在土壤重金属监测方面，仅深圳、汕头等</w:t>
      </w:r>
      <w:r>
        <w:rPr>
          <w:rFonts w:hint="eastAsia"/>
        </w:rPr>
        <w:t>4</w:t>
      </w:r>
      <w:r>
        <w:rPr>
          <w:rFonts w:hint="eastAsia"/>
        </w:rPr>
        <w:t>个市级监测站基本实现重金属指标的全覆盖，云浮等市还不具备土壤重金属监测能力。企业重金属污染物监测频次不足、监测指标不全等问题依然突出，部分企业重金属污染排放在线监控设施建设滞后，环境监控有效手段不足。基层环保部门执法力量薄弱，全省县级环境监察机构标准化建设达标率仅为</w:t>
      </w:r>
      <w:r>
        <w:rPr>
          <w:rFonts w:hint="eastAsia"/>
        </w:rPr>
        <w:t>37%</w:t>
      </w:r>
      <w:r>
        <w:rPr>
          <w:rFonts w:hint="eastAsia"/>
        </w:rPr>
        <w:t>，其中粤东西北地区只有河源市东源县、紫金县和汕头市龙湖区通过标准化验收，“小马拉大车”现象普遍存在。</w:t>
      </w:r>
    </w:p>
    <w:p w:rsidR="00AD7E73" w:rsidRDefault="00AD7E73" w:rsidP="00AD7E73">
      <w:pPr>
        <w:ind w:firstLineChars="200" w:firstLine="632"/>
      </w:pPr>
      <w:bookmarkStart w:id="20" w:name="_Toc468951542"/>
      <w:r>
        <w:rPr>
          <w:rFonts w:hint="eastAsia"/>
        </w:rPr>
        <w:t>5</w:t>
      </w:r>
      <w:r>
        <w:rPr>
          <w:rFonts w:hint="eastAsia"/>
        </w:rPr>
        <w:t>．法规标准体系仍不健全，全过程防控的技术支撑不足</w:t>
      </w:r>
      <w:bookmarkEnd w:id="20"/>
      <w:r>
        <w:rPr>
          <w:rFonts w:hint="eastAsia"/>
        </w:rPr>
        <w:t>。</w:t>
      </w:r>
    </w:p>
    <w:p w:rsidR="00AD7E73" w:rsidRDefault="00AD7E73" w:rsidP="00AD7E73">
      <w:pPr>
        <w:ind w:firstLineChars="200" w:firstLine="632"/>
      </w:pPr>
      <w:r>
        <w:rPr>
          <w:rFonts w:hint="eastAsia"/>
        </w:rPr>
        <w:t>目前国家和我省均未出台有关重金属污染防治的专门法规，现行的重金属污染防治相关环境标准主要针对污染源达标排放，与重金属环境质量、污染环境修复、环境监测方法、人体健康风险评估等相关的环境标准体系仍不完善。重金属污染源头风险评估、含重金属元素产品在生活中的利用及回收、人体健康和生态环境损害评估和追究赔偿等机制尚未建立，尚不能满足全过程管控的需求。</w:t>
      </w:r>
    </w:p>
    <w:p w:rsidR="00AD7E73" w:rsidRDefault="00AD7E73" w:rsidP="00AD7E73">
      <w:pPr>
        <w:ind w:firstLineChars="200" w:firstLine="632"/>
        <w:rPr>
          <w:rFonts w:ascii="黑体" w:eastAsia="黑体" w:hAnsi="黑体" w:cs="黑体" w:hint="eastAsia"/>
        </w:rPr>
      </w:pPr>
      <w:bookmarkStart w:id="21" w:name="_Toc468951543"/>
      <w:bookmarkStart w:id="22" w:name="_Toc18403"/>
      <w:bookmarkStart w:id="23" w:name="_Toc2583"/>
      <w:r>
        <w:rPr>
          <w:rFonts w:ascii="黑体" w:eastAsia="黑体" w:hAnsi="黑体" w:cs="黑体" w:hint="eastAsia"/>
        </w:rPr>
        <w:lastRenderedPageBreak/>
        <w:t>二、规划总则</w:t>
      </w:r>
      <w:bookmarkEnd w:id="21"/>
      <w:bookmarkEnd w:id="22"/>
      <w:bookmarkEnd w:id="23"/>
    </w:p>
    <w:p w:rsidR="00AD7E73" w:rsidRDefault="00AD7E73" w:rsidP="00AD7E73">
      <w:pPr>
        <w:ind w:firstLineChars="200" w:firstLine="632"/>
        <w:rPr>
          <w:rFonts w:ascii="楷体_GB2312" w:eastAsia="楷体_GB2312" w:hAnsi="楷体_GB2312" w:cs="楷体_GB2312" w:hint="eastAsia"/>
        </w:rPr>
      </w:pPr>
      <w:bookmarkStart w:id="24" w:name="_Toc468951544"/>
      <w:bookmarkStart w:id="25" w:name="_Toc31232"/>
      <w:bookmarkStart w:id="26" w:name="_Toc14409"/>
      <w:r>
        <w:rPr>
          <w:rFonts w:ascii="楷体_GB2312" w:eastAsia="楷体_GB2312" w:hAnsi="楷体_GB2312" w:cs="楷体_GB2312" w:hint="eastAsia"/>
        </w:rPr>
        <w:t>（一）指导思想</w:t>
      </w:r>
      <w:bookmarkEnd w:id="24"/>
      <w:bookmarkEnd w:id="25"/>
      <w:bookmarkEnd w:id="26"/>
      <w:r>
        <w:rPr>
          <w:rFonts w:ascii="楷体_GB2312" w:eastAsia="楷体_GB2312" w:hAnsi="楷体_GB2312" w:cs="楷体_GB2312" w:hint="eastAsia"/>
        </w:rPr>
        <w:t>。</w:t>
      </w:r>
    </w:p>
    <w:p w:rsidR="00AD7E73" w:rsidRDefault="00AD7E73" w:rsidP="00AD7E73">
      <w:pPr>
        <w:ind w:firstLineChars="200" w:firstLine="632"/>
      </w:pPr>
      <w:r>
        <w:rPr>
          <w:rFonts w:hint="eastAsia"/>
        </w:rPr>
        <w:t>全面贯彻党的十八大和十八届三中、四中、五中、六中全会精神，深入贯彻习近平总书记系列重要讲话精神和治国理政新理念新思想新战略，统筹推进“五位一体”总体布局和协调推进“四个全面”战略布局，坚持新发展理念，以“四个坚持、三个支撑、两个走在前列”为统领，按照“削总量、抓重点、防风险、压责任”的目标要求，继续深化重点行业和重点区域重金属污染排放总量减排，大力提升行业绿色发展水平，着力完善重金属污染综合防控体系，加快推动重点区域重金属环境质量改善，有效管控重金属环境风险隐患，进一步压实环境保护责任，切实维护人民群众身体健康，促进社会和谐稳定。</w:t>
      </w:r>
    </w:p>
    <w:p w:rsidR="00AD7E73" w:rsidRDefault="00AD7E73" w:rsidP="00AD7E73">
      <w:pPr>
        <w:ind w:firstLineChars="200" w:firstLine="632"/>
        <w:rPr>
          <w:rFonts w:ascii="楷体_GB2312" w:eastAsia="楷体_GB2312" w:hAnsi="楷体_GB2312" w:cs="楷体_GB2312" w:hint="eastAsia"/>
        </w:rPr>
      </w:pPr>
      <w:bookmarkStart w:id="27" w:name="_Toc468951545"/>
      <w:bookmarkStart w:id="28" w:name="_Toc20167"/>
      <w:bookmarkStart w:id="29" w:name="_Toc30165"/>
      <w:r>
        <w:rPr>
          <w:rFonts w:ascii="楷体_GB2312" w:eastAsia="楷体_GB2312" w:hAnsi="楷体_GB2312" w:cs="楷体_GB2312" w:hint="eastAsia"/>
        </w:rPr>
        <w:t>（二）基本原则</w:t>
      </w:r>
      <w:bookmarkEnd w:id="27"/>
      <w:bookmarkEnd w:id="28"/>
      <w:bookmarkEnd w:id="29"/>
      <w:r>
        <w:rPr>
          <w:rFonts w:ascii="楷体_GB2312" w:eastAsia="楷体_GB2312" w:hAnsi="楷体_GB2312" w:cs="楷体_GB2312" w:hint="eastAsia"/>
        </w:rPr>
        <w:t>。</w:t>
      </w:r>
    </w:p>
    <w:p w:rsidR="00AD7E73" w:rsidRDefault="00AD7E73" w:rsidP="00AD7E73">
      <w:pPr>
        <w:ind w:firstLineChars="200" w:firstLine="632"/>
      </w:pPr>
      <w:r>
        <w:rPr>
          <w:rFonts w:hint="eastAsia"/>
        </w:rPr>
        <w:t>民生优先，绿色发展。以加快解决人民群众关注的突出环境问题为导向，切实加大重金属污染治理力度和环境健康风险管控，着力推动行业结构调整优化与转型升级，实现经济、社会、环境的全面协调可持续发展，维护人民群众身体健康和环境权益。</w:t>
      </w:r>
    </w:p>
    <w:p w:rsidR="00AD7E73" w:rsidRDefault="00AD7E73" w:rsidP="00AD7E73">
      <w:pPr>
        <w:ind w:firstLineChars="200" w:firstLine="632"/>
      </w:pPr>
      <w:r>
        <w:rPr>
          <w:rFonts w:hint="eastAsia"/>
        </w:rPr>
        <w:t>源头预防，风险管控。严格环境准入，强化空间布局，严格控制新增重金属污染物排放。实施最严格环境保护制度，狠抓环境风险源头预防，从生产环节防控，向源头物质防控和后端的流通、消费、存储、运输、废弃处置环节全面延伸，实现环境风险全过程管控。</w:t>
      </w:r>
    </w:p>
    <w:p w:rsidR="00AD7E73" w:rsidRDefault="00AD7E73" w:rsidP="00AD7E73">
      <w:pPr>
        <w:ind w:firstLineChars="200" w:firstLine="632"/>
      </w:pPr>
      <w:r>
        <w:rPr>
          <w:rFonts w:hint="eastAsia"/>
        </w:rPr>
        <w:lastRenderedPageBreak/>
        <w:t>深化治污，改善质量。以稳定达标排放、绿色升级为重点，将污染源达标排放与排污许可证管理要求相衔接，深入实施重点行业清洁化改造，降低重金属污染物排放强度。持续深化重点区域综合整治，力争在一些有条件区域率先实现重金属环境质量明显改善，历史遗留重金属污染问题得到有效解决。</w:t>
      </w:r>
    </w:p>
    <w:p w:rsidR="00AD7E73" w:rsidRDefault="00AD7E73" w:rsidP="00AD7E73">
      <w:pPr>
        <w:ind w:firstLineChars="200" w:firstLine="632"/>
      </w:pPr>
      <w:r>
        <w:rPr>
          <w:rFonts w:hint="eastAsia"/>
        </w:rPr>
        <w:t>突出重点，分类指导。加强重点区域、重点行业分区管理、分类防控，对不同类别重金属、不同行业和重点区域采取有针对性的治理措施和差异化防控对策，提升精准施策水平。</w:t>
      </w:r>
    </w:p>
    <w:p w:rsidR="00AD7E73" w:rsidRDefault="00AD7E73" w:rsidP="00AD7E73">
      <w:pPr>
        <w:ind w:firstLineChars="200" w:firstLine="632"/>
      </w:pPr>
      <w:r>
        <w:rPr>
          <w:rFonts w:hint="eastAsia"/>
        </w:rPr>
        <w:t>落实责任，协同推进。明确各地政府主体责任，强化目标考核，建立部门、区域之间联合防治与协作联动机制，落实企业污染防治主体责任，强化信息公开，鼓励公众参与和监督污染防治工作，积极开创多元共治、全民参与的重金属污染防控新局面。</w:t>
      </w:r>
    </w:p>
    <w:p w:rsidR="00AD7E73" w:rsidRDefault="00AD7E73" w:rsidP="00AD7E73">
      <w:pPr>
        <w:ind w:firstLineChars="200" w:firstLine="632"/>
        <w:rPr>
          <w:rFonts w:ascii="楷体_GB2312" w:eastAsia="楷体_GB2312" w:hAnsi="楷体_GB2312" w:cs="楷体_GB2312" w:hint="eastAsia"/>
        </w:rPr>
      </w:pPr>
      <w:bookmarkStart w:id="30" w:name="_Toc468951546"/>
      <w:bookmarkStart w:id="31" w:name="_Toc11850"/>
      <w:bookmarkStart w:id="32" w:name="_Toc442"/>
      <w:r>
        <w:rPr>
          <w:rFonts w:ascii="楷体_GB2312" w:eastAsia="楷体_GB2312" w:hAnsi="楷体_GB2312" w:cs="楷体_GB2312" w:hint="eastAsia"/>
        </w:rPr>
        <w:t>（三）防控重点</w:t>
      </w:r>
      <w:bookmarkEnd w:id="30"/>
      <w:bookmarkEnd w:id="31"/>
      <w:bookmarkEnd w:id="32"/>
      <w:r>
        <w:rPr>
          <w:rFonts w:ascii="楷体_GB2312" w:eastAsia="楷体_GB2312" w:hAnsi="楷体_GB2312" w:cs="楷体_GB2312" w:hint="eastAsia"/>
        </w:rPr>
        <w:t>。</w:t>
      </w:r>
    </w:p>
    <w:p w:rsidR="00AD7E73" w:rsidRDefault="00AD7E73" w:rsidP="00AD7E73">
      <w:pPr>
        <w:ind w:firstLineChars="200" w:firstLine="632"/>
      </w:pPr>
      <w:bookmarkStart w:id="33" w:name="_Toc468951547"/>
      <w:r>
        <w:rPr>
          <w:rFonts w:hint="eastAsia"/>
        </w:rPr>
        <w:t>1</w:t>
      </w:r>
      <w:r>
        <w:rPr>
          <w:rFonts w:hint="eastAsia"/>
        </w:rPr>
        <w:t>．重点污染物</w:t>
      </w:r>
      <w:bookmarkEnd w:id="33"/>
      <w:r>
        <w:rPr>
          <w:rFonts w:hint="eastAsia"/>
        </w:rPr>
        <w:t>。</w:t>
      </w:r>
    </w:p>
    <w:p w:rsidR="00AD7E73" w:rsidRDefault="00AD7E73" w:rsidP="00AD7E73">
      <w:pPr>
        <w:ind w:firstLineChars="200" w:firstLine="632"/>
      </w:pPr>
      <w:r>
        <w:rPr>
          <w:rFonts w:hint="eastAsia"/>
        </w:rPr>
        <w:t>铅（</w:t>
      </w:r>
      <w:r>
        <w:rPr>
          <w:rFonts w:hint="eastAsia"/>
        </w:rPr>
        <w:t>Pb</w:t>
      </w:r>
      <w:r>
        <w:rPr>
          <w:rFonts w:hint="eastAsia"/>
        </w:rPr>
        <w:t>）、汞（</w:t>
      </w:r>
      <w:r>
        <w:rPr>
          <w:rFonts w:hint="eastAsia"/>
        </w:rPr>
        <w:t>Hg</w:t>
      </w:r>
      <w:r>
        <w:rPr>
          <w:rFonts w:hint="eastAsia"/>
        </w:rPr>
        <w:t>）、镉（</w:t>
      </w:r>
      <w:r>
        <w:rPr>
          <w:rFonts w:hint="eastAsia"/>
        </w:rPr>
        <w:t>Cd</w:t>
      </w:r>
      <w:r>
        <w:rPr>
          <w:rFonts w:hint="eastAsia"/>
        </w:rPr>
        <w:t>）、铬（</w:t>
      </w:r>
      <w:r>
        <w:rPr>
          <w:rFonts w:hint="eastAsia"/>
        </w:rPr>
        <w:t>Cr</w:t>
      </w:r>
      <w:r>
        <w:rPr>
          <w:rFonts w:hint="eastAsia"/>
        </w:rPr>
        <w:t>）和类金属砷（</w:t>
      </w:r>
      <w:r>
        <w:rPr>
          <w:rFonts w:hint="eastAsia"/>
        </w:rPr>
        <w:t>As</w:t>
      </w:r>
      <w:r>
        <w:rPr>
          <w:rFonts w:hint="eastAsia"/>
        </w:rPr>
        <w:t>）五种元素为重点防控的重金属污染物，兼顾铊（</w:t>
      </w:r>
      <w:r>
        <w:rPr>
          <w:rFonts w:hint="eastAsia"/>
        </w:rPr>
        <w:t>Tl</w:t>
      </w:r>
      <w:r>
        <w:rPr>
          <w:rFonts w:hint="eastAsia"/>
        </w:rPr>
        <w:t>）、锑（</w:t>
      </w:r>
      <w:r>
        <w:rPr>
          <w:rFonts w:hint="eastAsia"/>
        </w:rPr>
        <w:t>Sb</w:t>
      </w:r>
      <w:r>
        <w:rPr>
          <w:rFonts w:hint="eastAsia"/>
        </w:rPr>
        <w:t>）、镍（</w:t>
      </w:r>
      <w:r>
        <w:rPr>
          <w:rFonts w:hint="eastAsia"/>
        </w:rPr>
        <w:t>Ni</w:t>
      </w:r>
      <w:r>
        <w:rPr>
          <w:rFonts w:hint="eastAsia"/>
        </w:rPr>
        <w:t>）、铜（</w:t>
      </w:r>
      <w:r>
        <w:rPr>
          <w:rFonts w:hint="eastAsia"/>
        </w:rPr>
        <w:t>Cu</w:t>
      </w:r>
      <w:r>
        <w:rPr>
          <w:rFonts w:hint="eastAsia"/>
        </w:rPr>
        <w:t>）、锌（</w:t>
      </w:r>
      <w:r>
        <w:rPr>
          <w:rFonts w:hint="eastAsia"/>
        </w:rPr>
        <w:t>Zn</w:t>
      </w:r>
      <w:r>
        <w:rPr>
          <w:rFonts w:hint="eastAsia"/>
        </w:rPr>
        <w:t>）、银（</w:t>
      </w:r>
      <w:r>
        <w:rPr>
          <w:rFonts w:hint="eastAsia"/>
        </w:rPr>
        <w:t>Ag</w:t>
      </w:r>
      <w:r>
        <w:rPr>
          <w:rFonts w:hint="eastAsia"/>
        </w:rPr>
        <w:t>）、钒（</w:t>
      </w:r>
      <w:r>
        <w:rPr>
          <w:rFonts w:hint="eastAsia"/>
        </w:rPr>
        <w:t>V</w:t>
      </w:r>
      <w:r>
        <w:rPr>
          <w:rFonts w:hint="eastAsia"/>
        </w:rPr>
        <w:t>）、锰（</w:t>
      </w:r>
      <w:r>
        <w:rPr>
          <w:rFonts w:hint="eastAsia"/>
        </w:rPr>
        <w:t>Mn</w:t>
      </w:r>
      <w:r>
        <w:rPr>
          <w:rFonts w:hint="eastAsia"/>
        </w:rPr>
        <w:t>）、钴（</w:t>
      </w:r>
      <w:r>
        <w:rPr>
          <w:rFonts w:hint="eastAsia"/>
        </w:rPr>
        <w:t>Co</w:t>
      </w:r>
      <w:r>
        <w:rPr>
          <w:rFonts w:hint="eastAsia"/>
        </w:rPr>
        <w:t>）等其他重金属污染物。</w:t>
      </w:r>
    </w:p>
    <w:p w:rsidR="00AD7E73" w:rsidRDefault="00AD7E73" w:rsidP="00AD7E73">
      <w:pPr>
        <w:ind w:firstLineChars="200" w:firstLine="632"/>
      </w:pPr>
      <w:bookmarkStart w:id="34" w:name="_Toc468951548"/>
      <w:r>
        <w:rPr>
          <w:rFonts w:hint="eastAsia"/>
        </w:rPr>
        <w:t>2</w:t>
      </w:r>
      <w:r>
        <w:rPr>
          <w:rFonts w:hint="eastAsia"/>
        </w:rPr>
        <w:t>．重点行业</w:t>
      </w:r>
      <w:bookmarkEnd w:id="34"/>
      <w:r>
        <w:rPr>
          <w:rFonts w:hint="eastAsia"/>
        </w:rPr>
        <w:t>。</w:t>
      </w:r>
    </w:p>
    <w:p w:rsidR="00AD7E73" w:rsidRDefault="00AD7E73" w:rsidP="00AD7E73">
      <w:pPr>
        <w:ind w:firstLineChars="200" w:firstLine="632"/>
      </w:pPr>
      <w:r>
        <w:rPr>
          <w:rFonts w:hint="eastAsia"/>
        </w:rPr>
        <w:t>重有色金属矿采选业（铅锌矿采选、铜矿采选、金矿采选等）、重有色金属冶炼业（铅锌冶炼、铜冶炼、金冶炼等）、金属表面处理及热处理加工业（电镀）、铅酸蓄电池制造业、皮革及其制品制</w:t>
      </w:r>
      <w:r>
        <w:rPr>
          <w:rFonts w:hint="eastAsia"/>
        </w:rPr>
        <w:lastRenderedPageBreak/>
        <w:t>造业、化学原料及化学制品制造业（基础化学原料制造和涂料、颜料及类似产品制造、硫化物矿制酸等）。</w:t>
      </w:r>
    </w:p>
    <w:p w:rsidR="00AD7E73" w:rsidRDefault="00AD7E73" w:rsidP="00AD7E73">
      <w:pPr>
        <w:ind w:firstLineChars="200" w:firstLine="632"/>
      </w:pPr>
      <w:bookmarkStart w:id="35" w:name="_Toc468951549"/>
      <w:r>
        <w:rPr>
          <w:rFonts w:hint="eastAsia"/>
        </w:rPr>
        <w:t>3</w:t>
      </w:r>
      <w:r>
        <w:rPr>
          <w:rFonts w:hint="eastAsia"/>
        </w:rPr>
        <w:t>．重点区域</w:t>
      </w:r>
      <w:bookmarkEnd w:id="35"/>
      <w:r>
        <w:rPr>
          <w:rFonts w:hint="eastAsia"/>
        </w:rPr>
        <w:t>。</w:t>
      </w:r>
    </w:p>
    <w:p w:rsidR="00AD7E73" w:rsidRDefault="00AD7E73" w:rsidP="00AD7E73">
      <w:pPr>
        <w:ind w:firstLineChars="200" w:firstLine="632"/>
      </w:pPr>
      <w:r>
        <w:rPr>
          <w:rFonts w:hint="eastAsia"/>
        </w:rPr>
        <w:t>国家重点防控区：珠三角电镀区、韶关大宝山矿区及周边地区、韶关凡口铅锌矿周边地区、韶关浈江区、韶关乐昌市、汕头潮阳区、清远清城区。</w:t>
      </w:r>
    </w:p>
    <w:p w:rsidR="00AD7E73" w:rsidRDefault="00AD7E73" w:rsidP="00AD7E73">
      <w:pPr>
        <w:ind w:firstLineChars="200" w:firstLine="632"/>
      </w:pPr>
      <w:r>
        <w:rPr>
          <w:rFonts w:hint="eastAsia"/>
        </w:rPr>
        <w:t>省重点防控区：茂名市高州市、茂南区，云浮市云城区、云安区。</w:t>
      </w:r>
    </w:p>
    <w:p w:rsidR="00AD7E73" w:rsidRDefault="00AD7E73" w:rsidP="00AD7E73">
      <w:pPr>
        <w:ind w:firstLineChars="200" w:firstLine="632"/>
        <w:rPr>
          <w:rFonts w:ascii="楷体_GB2312" w:eastAsia="楷体_GB2312" w:hAnsi="楷体_GB2312" w:cs="楷体_GB2312" w:hint="eastAsia"/>
        </w:rPr>
      </w:pPr>
      <w:bookmarkStart w:id="36" w:name="_Toc468951550"/>
      <w:bookmarkStart w:id="37" w:name="_Toc22704"/>
      <w:bookmarkStart w:id="38" w:name="_Toc31135"/>
      <w:r>
        <w:rPr>
          <w:rFonts w:ascii="楷体_GB2312" w:eastAsia="楷体_GB2312" w:hAnsi="楷体_GB2312" w:cs="楷体_GB2312" w:hint="eastAsia"/>
        </w:rPr>
        <w:t>（四）规划目标</w:t>
      </w:r>
      <w:bookmarkEnd w:id="36"/>
      <w:bookmarkEnd w:id="37"/>
      <w:bookmarkEnd w:id="38"/>
      <w:r>
        <w:rPr>
          <w:rFonts w:ascii="楷体_GB2312" w:eastAsia="楷体_GB2312" w:hAnsi="楷体_GB2312" w:cs="楷体_GB2312" w:hint="eastAsia"/>
        </w:rPr>
        <w:t>。</w:t>
      </w:r>
    </w:p>
    <w:p w:rsidR="00AD7E73" w:rsidRDefault="00AD7E73" w:rsidP="00AD7E73">
      <w:pPr>
        <w:ind w:firstLineChars="200" w:firstLine="632"/>
      </w:pPr>
      <w:r>
        <w:rPr>
          <w:rFonts w:hint="eastAsia"/>
        </w:rPr>
        <w:t>到</w:t>
      </w:r>
      <w:r>
        <w:rPr>
          <w:rFonts w:hint="eastAsia"/>
        </w:rPr>
        <w:t>2020</w:t>
      </w:r>
      <w:r>
        <w:rPr>
          <w:rFonts w:hint="eastAsia"/>
        </w:rPr>
        <w:t>年，重金属污染物排放总量进一步减少，重点行业重点重金属排放量比</w:t>
      </w:r>
      <w:r>
        <w:rPr>
          <w:rFonts w:hint="eastAsia"/>
        </w:rPr>
        <w:t>2013</w:t>
      </w:r>
      <w:r>
        <w:rPr>
          <w:rFonts w:hint="eastAsia"/>
        </w:rPr>
        <w:t>年下降</w:t>
      </w:r>
      <w:r>
        <w:rPr>
          <w:rFonts w:hint="eastAsia"/>
        </w:rPr>
        <w:t>12%</w:t>
      </w:r>
      <w:r>
        <w:rPr>
          <w:rFonts w:hint="eastAsia"/>
        </w:rPr>
        <w:t>，涉重金属行业绿色发展水平显著提升。城镇集中式地表水饮用水水源重点污染物指标稳定达标，部分重点区域重金属环境质量得到明显改善。重金属环境风险防控和环境监管水平进一步提升，基本建立起完善的重金属全生命周期污染防治、风险防控和健康风险评估管理体系，环境安全得到切实维护。</w:t>
      </w:r>
    </w:p>
    <w:p w:rsidR="00AD7E73" w:rsidRDefault="00AD7E73" w:rsidP="00AD7E73">
      <w:pPr>
        <w:ind w:firstLineChars="200" w:firstLine="632"/>
        <w:rPr>
          <w:rFonts w:ascii="黑体" w:eastAsia="黑体" w:hAnsi="黑体" w:cs="黑体" w:hint="eastAsia"/>
        </w:rPr>
      </w:pPr>
      <w:bookmarkStart w:id="39" w:name="_Toc468951551"/>
      <w:bookmarkStart w:id="40" w:name="_Toc5986"/>
      <w:bookmarkStart w:id="41" w:name="_Toc17310"/>
      <w:r>
        <w:rPr>
          <w:rFonts w:ascii="黑体" w:eastAsia="黑体" w:hAnsi="黑体" w:cs="黑体" w:hint="eastAsia"/>
        </w:rPr>
        <w:t>三、主要任务</w:t>
      </w:r>
      <w:bookmarkEnd w:id="39"/>
      <w:bookmarkEnd w:id="40"/>
      <w:bookmarkEnd w:id="41"/>
    </w:p>
    <w:p w:rsidR="00AD7E73" w:rsidRDefault="00AD7E73" w:rsidP="00AD7E73">
      <w:pPr>
        <w:ind w:firstLineChars="200" w:firstLine="632"/>
        <w:rPr>
          <w:rFonts w:ascii="楷体_GB2312" w:eastAsia="楷体_GB2312" w:hAnsi="楷体_GB2312" w:cs="楷体_GB2312" w:hint="eastAsia"/>
        </w:rPr>
      </w:pPr>
      <w:bookmarkStart w:id="42" w:name="_Toc468951552"/>
      <w:bookmarkStart w:id="43" w:name="_Toc6030"/>
      <w:bookmarkStart w:id="44" w:name="_Toc843"/>
      <w:r>
        <w:rPr>
          <w:rFonts w:ascii="楷体_GB2312" w:eastAsia="楷体_GB2312" w:hAnsi="楷体_GB2312" w:cs="楷体_GB2312" w:hint="eastAsia"/>
        </w:rPr>
        <w:t>（一）强化源头防控，优化行业布局</w:t>
      </w:r>
      <w:bookmarkEnd w:id="42"/>
      <w:bookmarkEnd w:id="43"/>
      <w:bookmarkEnd w:id="44"/>
      <w:r>
        <w:rPr>
          <w:rFonts w:ascii="楷体_GB2312" w:eastAsia="楷体_GB2312" w:hAnsi="楷体_GB2312" w:cs="楷体_GB2312" w:hint="eastAsia"/>
        </w:rPr>
        <w:t>。</w:t>
      </w:r>
    </w:p>
    <w:p w:rsidR="00AD7E73" w:rsidRDefault="00AD7E73" w:rsidP="00AD7E73">
      <w:pPr>
        <w:ind w:firstLineChars="200" w:firstLine="632"/>
      </w:pPr>
      <w:bookmarkStart w:id="45" w:name="_Toc468951553"/>
      <w:r>
        <w:rPr>
          <w:rFonts w:hint="eastAsia"/>
        </w:rPr>
        <w:t>1</w:t>
      </w:r>
      <w:r>
        <w:rPr>
          <w:rFonts w:hint="eastAsia"/>
        </w:rPr>
        <w:t>．严格控制新增重金属污染物排放</w:t>
      </w:r>
      <w:bookmarkEnd w:id="45"/>
      <w:r>
        <w:rPr>
          <w:rFonts w:hint="eastAsia"/>
        </w:rPr>
        <w:t>。</w:t>
      </w:r>
    </w:p>
    <w:p w:rsidR="00AD7E73" w:rsidRDefault="00AD7E73" w:rsidP="00AD7E73">
      <w:pPr>
        <w:ind w:firstLineChars="200" w:firstLine="632"/>
      </w:pPr>
      <w:r>
        <w:rPr>
          <w:rFonts w:hint="eastAsia"/>
        </w:rPr>
        <w:t>继续严格实施重金属污染防治分区防控策略，重金属污染重点防控区内禁止新建、扩建增加重金属污染物排放的建设项目，现有技术改造项目应通过实施“区域削减”，实现增产减污。重金</w:t>
      </w:r>
      <w:r>
        <w:rPr>
          <w:rFonts w:hint="eastAsia"/>
        </w:rPr>
        <w:lastRenderedPageBreak/>
        <w:t>属污染防控非重点区新、改扩建重金属排放项目，应严格落实重金属总量替代与削减要求，严格控制重点行业发展规模。强化涉重金属污染行业建设项目环评审批管理，严格执行环保“三同时”制度。涉重金属行业分布集中、发展速度快、环境问题突出的地区应进一步严格环境准入标准，强化清洁生产和污染物排放标准等环境指标约束。全面提升重点区域和重点行业污染治理和清洁化水平，降低重金属污染物排放强度，到</w:t>
      </w:r>
      <w:r>
        <w:rPr>
          <w:rFonts w:hint="eastAsia"/>
        </w:rPr>
        <w:t>2020</w:t>
      </w:r>
      <w:r>
        <w:rPr>
          <w:rFonts w:hint="eastAsia"/>
        </w:rPr>
        <w:t>年，全省重点行业重点重金属排放量比</w:t>
      </w:r>
      <w:r>
        <w:rPr>
          <w:rFonts w:hint="eastAsia"/>
        </w:rPr>
        <w:t>2013</w:t>
      </w:r>
      <w:r>
        <w:rPr>
          <w:rFonts w:hint="eastAsia"/>
        </w:rPr>
        <w:t>年下降</w:t>
      </w:r>
      <w:r>
        <w:rPr>
          <w:rFonts w:hint="eastAsia"/>
        </w:rPr>
        <w:t>12%</w:t>
      </w:r>
      <w:r>
        <w:rPr>
          <w:rFonts w:hint="eastAsia"/>
        </w:rPr>
        <w:t>。</w:t>
      </w:r>
    </w:p>
    <w:p w:rsidR="00AD7E73" w:rsidRDefault="00AD7E73" w:rsidP="00AD7E73">
      <w:pPr>
        <w:ind w:firstLineChars="200" w:firstLine="632"/>
      </w:pPr>
      <w:bookmarkStart w:id="46" w:name="_Toc468951554"/>
      <w:r>
        <w:rPr>
          <w:rFonts w:hint="eastAsia"/>
        </w:rPr>
        <w:t>2</w:t>
      </w:r>
      <w:r>
        <w:rPr>
          <w:rFonts w:hint="eastAsia"/>
        </w:rPr>
        <w:t>．强化涉重产业空间布局管控</w:t>
      </w:r>
      <w:bookmarkEnd w:id="46"/>
      <w:r>
        <w:rPr>
          <w:rFonts w:hint="eastAsia"/>
        </w:rPr>
        <w:t>。</w:t>
      </w:r>
    </w:p>
    <w:p w:rsidR="00AD7E73" w:rsidRDefault="00AD7E73" w:rsidP="00AD7E73">
      <w:pPr>
        <w:ind w:firstLineChars="200" w:firstLine="632"/>
      </w:pPr>
      <w:r>
        <w:rPr>
          <w:rFonts w:hint="eastAsia"/>
        </w:rPr>
        <w:t>强化规划引导，根据区域重金属环境承载能力和环境风险防范要求，合理确定区域涉重金属排放项目空间布局。严格实施《广东省环境保护规划纲要（</w:t>
      </w:r>
      <w:r>
        <w:rPr>
          <w:rFonts w:hint="eastAsia"/>
        </w:rPr>
        <w:t>2006-2020</w:t>
      </w:r>
      <w:r>
        <w:rPr>
          <w:rFonts w:hint="eastAsia"/>
        </w:rPr>
        <w:t>年）》，严格执行产业发展政策和重点行业企业布局选址要求，禁止在居民区、学校、医疗和养老机构等周边新建有色金属冶炼等行业企业。加快推动重污染企业退出，各地要对城市建成区内现有电镀、有色金属、化学原料及化学制品制造等污染较重的企业进行排查并制定搬迁改造或依法关闭计划。</w:t>
      </w:r>
    </w:p>
    <w:p w:rsidR="00AD7E73" w:rsidRDefault="00AD7E73" w:rsidP="00AD7E73">
      <w:pPr>
        <w:ind w:firstLineChars="200" w:firstLine="632"/>
        <w:rPr>
          <w:rFonts w:ascii="楷体_GB2312" w:eastAsia="楷体_GB2312" w:hAnsi="楷体_GB2312" w:cs="楷体_GB2312" w:hint="eastAsia"/>
        </w:rPr>
      </w:pPr>
      <w:bookmarkStart w:id="47" w:name="_Toc468951555"/>
      <w:bookmarkStart w:id="48" w:name="_Toc16499"/>
      <w:bookmarkStart w:id="49" w:name="_Toc4919"/>
      <w:r>
        <w:rPr>
          <w:rFonts w:ascii="楷体_GB2312" w:eastAsia="楷体_GB2312" w:hAnsi="楷体_GB2312" w:cs="楷体_GB2312" w:hint="eastAsia"/>
        </w:rPr>
        <w:t>（二）深化综合治理，推动绿色转型</w:t>
      </w:r>
      <w:bookmarkEnd w:id="47"/>
      <w:bookmarkEnd w:id="48"/>
      <w:bookmarkEnd w:id="49"/>
      <w:r>
        <w:rPr>
          <w:rFonts w:ascii="楷体_GB2312" w:eastAsia="楷体_GB2312" w:hAnsi="楷体_GB2312" w:cs="楷体_GB2312" w:hint="eastAsia"/>
        </w:rPr>
        <w:t>。</w:t>
      </w:r>
    </w:p>
    <w:p w:rsidR="00AD7E73" w:rsidRDefault="00AD7E73" w:rsidP="00AD7E73">
      <w:pPr>
        <w:ind w:firstLineChars="200" w:firstLine="632"/>
      </w:pPr>
      <w:bookmarkStart w:id="50" w:name="_Toc468951556"/>
      <w:r>
        <w:rPr>
          <w:rFonts w:hint="eastAsia"/>
        </w:rPr>
        <w:t>1</w:t>
      </w:r>
      <w:r>
        <w:rPr>
          <w:rFonts w:hint="eastAsia"/>
        </w:rPr>
        <w:t>．全面淘汰落后生产工艺和产品</w:t>
      </w:r>
      <w:bookmarkEnd w:id="50"/>
      <w:r>
        <w:rPr>
          <w:rFonts w:hint="eastAsia"/>
        </w:rPr>
        <w:t>。</w:t>
      </w:r>
    </w:p>
    <w:p w:rsidR="00AD7E73" w:rsidRDefault="00AD7E73" w:rsidP="00AD7E73">
      <w:pPr>
        <w:ind w:firstLineChars="200" w:firstLine="632"/>
      </w:pPr>
      <w:r>
        <w:rPr>
          <w:rFonts w:hint="eastAsia"/>
        </w:rPr>
        <w:t>综合运用法律法规、经济手段和必要的行政手段，严格执行能耗、环保、质量、安全、技术等综合标准，依法淘汰落后产能。淘汰烧结机</w:t>
      </w:r>
      <w:r>
        <w:rPr>
          <w:rFonts w:hint="eastAsia"/>
        </w:rPr>
        <w:t>-</w:t>
      </w:r>
      <w:r>
        <w:rPr>
          <w:rFonts w:hint="eastAsia"/>
        </w:rPr>
        <w:t>鼓风炉和烧结锅</w:t>
      </w:r>
      <w:r>
        <w:rPr>
          <w:rFonts w:hint="eastAsia"/>
        </w:rPr>
        <w:t>-</w:t>
      </w:r>
      <w:r>
        <w:rPr>
          <w:rFonts w:hint="eastAsia"/>
        </w:rPr>
        <w:t>鼓风炉炼铅、反射炉及鼓风炉炼铜、</w:t>
      </w:r>
      <w:r>
        <w:rPr>
          <w:rFonts w:hint="eastAsia"/>
        </w:rPr>
        <w:lastRenderedPageBreak/>
        <w:t>极板槽化成等落后生产工艺。逐步淘汰现有镉镍电池、含汞电池、水银体温计和血压计、非医用非电子测量仪器。在铅酸蓄电池行业，全面淘汰使用铅镉合金；在玻璃行业和木材防腐行业，全面淘汰使用含砷制剂；在养殖业和饲料生产企业，淘汰使用胂制剂；全面推进含铅涂料的淘汰限制工作。</w:t>
      </w:r>
      <w:r>
        <w:rPr>
          <w:rFonts w:hint="eastAsia"/>
        </w:rPr>
        <w:t>2017</w:t>
      </w:r>
      <w:r>
        <w:rPr>
          <w:rFonts w:hint="eastAsia"/>
        </w:rPr>
        <w:t>年底前取缔不符合国家产业政策的小型制革、电镀、铅酸电池、再生铅等生产项目。完善产能过剩行业淘汰资金补贴奖励政策，鼓励涉重金属企业主动退出。</w:t>
      </w:r>
    </w:p>
    <w:p w:rsidR="00AD7E73" w:rsidRDefault="00AD7E73" w:rsidP="00AD7E73">
      <w:pPr>
        <w:ind w:firstLineChars="200" w:firstLine="632"/>
      </w:pPr>
      <w:bookmarkStart w:id="51" w:name="_Toc468951557"/>
      <w:r>
        <w:rPr>
          <w:rFonts w:hint="eastAsia"/>
        </w:rPr>
        <w:t>2</w:t>
      </w:r>
      <w:r>
        <w:rPr>
          <w:rFonts w:hint="eastAsia"/>
        </w:rPr>
        <w:t>．全面提升清洁生产水平</w:t>
      </w:r>
      <w:bookmarkEnd w:id="51"/>
      <w:r>
        <w:rPr>
          <w:rFonts w:hint="eastAsia"/>
        </w:rPr>
        <w:t>。</w:t>
      </w:r>
    </w:p>
    <w:p w:rsidR="00AD7E73" w:rsidRDefault="00AD7E73" w:rsidP="00AD7E73">
      <w:pPr>
        <w:ind w:firstLineChars="200" w:firstLine="632"/>
      </w:pPr>
      <w:r>
        <w:rPr>
          <w:rFonts w:hint="eastAsia"/>
        </w:rPr>
        <w:t>以重有色金属矿采选、重有色金属冶炼、皮革制造、电镀等行业为重点，大力开展清洁生产技术示范，推广安全高效、能耗物耗低、环保达标、资源综合利用效果好的先进生产工艺，提升行业清洁化水平。各地要切实按照《清洁生产审核办法》的要求，督促涉重企业全面开展强制性清洁生产审核，确保涉重企业落实清洁生产审核确定的重金属污染减排措施。到</w:t>
      </w:r>
      <w:r>
        <w:rPr>
          <w:rFonts w:hint="eastAsia"/>
        </w:rPr>
        <w:t>2020</w:t>
      </w:r>
      <w:r>
        <w:rPr>
          <w:rFonts w:hint="eastAsia"/>
        </w:rPr>
        <w:t>年，重金属重点行业清洁生产总体上达到国内先进水平。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tblGrid>
      <w:tr w:rsidR="00AD7E73" w:rsidTr="00CE376B">
        <w:trPr>
          <w:trHeight w:val="363"/>
          <w:jc w:val="center"/>
        </w:trPr>
        <w:tc>
          <w:tcPr>
            <w:tcW w:w="8330" w:type="dxa"/>
          </w:tcPr>
          <w:p w:rsidR="00AD7E73" w:rsidRDefault="00AD7E73" w:rsidP="00CE376B">
            <w:pPr>
              <w:pStyle w:val="NewNewNewNewNewNewNewNewNewNewNewNewNewNewNewNewNewNewNewNewNewNewNewNewNewNewNew"/>
              <w:widowControl/>
              <w:spacing w:line="320" w:lineRule="exact"/>
              <w:jc w:val="center"/>
              <w:rPr>
                <w:rFonts w:eastAsia="楷体_GB2312"/>
                <w:b/>
                <w:sz w:val="24"/>
                <w:szCs w:val="20"/>
              </w:rPr>
            </w:pPr>
            <w:r>
              <w:rPr>
                <w:rFonts w:eastAsia="楷体_GB2312"/>
                <w:b/>
                <w:sz w:val="24"/>
                <w:szCs w:val="20"/>
              </w:rPr>
              <w:t>专栏</w:t>
            </w:r>
            <w:r>
              <w:rPr>
                <w:rFonts w:eastAsia="楷体_GB2312"/>
                <w:b/>
                <w:sz w:val="24"/>
                <w:szCs w:val="20"/>
              </w:rPr>
              <w:t xml:space="preserve">1  </w:t>
            </w:r>
            <w:r>
              <w:rPr>
                <w:rFonts w:eastAsia="楷体_GB2312"/>
                <w:b/>
                <w:sz w:val="24"/>
              </w:rPr>
              <w:t>重金属重点行业清洁生产工艺推广技术</w:t>
            </w:r>
          </w:p>
        </w:tc>
      </w:tr>
      <w:tr w:rsidR="00AD7E73" w:rsidTr="00CE376B">
        <w:trPr>
          <w:trHeight w:val="363"/>
          <w:jc w:val="center"/>
        </w:trPr>
        <w:tc>
          <w:tcPr>
            <w:tcW w:w="8330" w:type="dxa"/>
          </w:tcPr>
          <w:p w:rsidR="00AD7E73" w:rsidRDefault="00AD7E73" w:rsidP="00CE376B">
            <w:pPr>
              <w:pStyle w:val="NewNewNewNewNewNewNewNewNewNewNewNewNewNewNewNewNewNewNewNewNewNewNewNewNewNewNewNewNewNewNewNewNewNewNewNewNewNewNewNewNewNewNewNewNewNewNewNewNewNewNewNewNewNewNewNewNewNewNewNewNewNewNe"/>
              <w:widowControl/>
              <w:spacing w:line="320" w:lineRule="exact"/>
              <w:jc w:val="left"/>
              <w:rPr>
                <w:rFonts w:eastAsia="楷体_GB2312"/>
                <w:sz w:val="24"/>
              </w:rPr>
            </w:pPr>
            <w:r>
              <w:rPr>
                <w:rFonts w:eastAsia="楷体_GB2312"/>
                <w:b/>
                <w:sz w:val="24"/>
              </w:rPr>
              <w:t>——</w:t>
            </w:r>
            <w:r>
              <w:rPr>
                <w:rFonts w:eastAsia="楷体_GB2312" w:hint="eastAsia"/>
                <w:b/>
                <w:sz w:val="24"/>
              </w:rPr>
              <w:t>重</w:t>
            </w:r>
            <w:r>
              <w:rPr>
                <w:rFonts w:eastAsia="楷体_GB2312"/>
                <w:b/>
                <w:sz w:val="24"/>
              </w:rPr>
              <w:t>有色金属矿采选业</w:t>
            </w:r>
            <w:r>
              <w:rPr>
                <w:rFonts w:eastAsia="楷体_GB2312"/>
                <w:sz w:val="24"/>
              </w:rPr>
              <w:t>：推广采用先进装备及技术开采、破粹和干燥有色金属矿石，防止扬尘污染；推广使用共、伴生矿产资源中有价元素的分离回收技术和选矿废水（含尾矿库溢流水）循环利用技术。</w:t>
            </w:r>
          </w:p>
          <w:p w:rsidR="00AD7E73" w:rsidRDefault="00AD7E73" w:rsidP="00CE376B">
            <w:pPr>
              <w:pStyle w:val="NewNewNewNewNewNewNewNewNewNewNewNewNewNewNewNewNewNewNewNewNewNewNewNewNewNewNew"/>
              <w:widowControl/>
              <w:spacing w:line="320" w:lineRule="exact"/>
              <w:rPr>
                <w:rFonts w:eastAsia="楷体_GB2312"/>
                <w:sz w:val="24"/>
              </w:rPr>
            </w:pPr>
            <w:r>
              <w:rPr>
                <w:rFonts w:eastAsia="楷体_GB2312"/>
                <w:b/>
                <w:sz w:val="24"/>
              </w:rPr>
              <w:t>——</w:t>
            </w:r>
            <w:r>
              <w:rPr>
                <w:rFonts w:eastAsia="楷体_GB2312" w:hint="eastAsia"/>
                <w:b/>
                <w:sz w:val="24"/>
              </w:rPr>
              <w:t>重</w:t>
            </w:r>
            <w:r>
              <w:rPr>
                <w:rFonts w:eastAsia="楷体_GB2312"/>
                <w:b/>
                <w:sz w:val="24"/>
              </w:rPr>
              <w:t>有色金属冶炼行业</w:t>
            </w:r>
            <w:r>
              <w:rPr>
                <w:rFonts w:eastAsia="楷体_GB2312"/>
                <w:sz w:val="24"/>
              </w:rPr>
              <w:t>：推广采用符合一、二级清洁生产标准的有色金属短流程冶炼工艺，铅冶炼</w:t>
            </w:r>
            <w:r>
              <w:rPr>
                <w:rFonts w:eastAsia="楷体_GB2312"/>
                <w:sz w:val="24"/>
                <w:szCs w:val="20"/>
              </w:rPr>
              <w:t>氧气底吹</w:t>
            </w:r>
            <w:r>
              <w:rPr>
                <w:rFonts w:eastAsia="楷体_GB2312"/>
                <w:sz w:val="24"/>
                <w:szCs w:val="20"/>
              </w:rPr>
              <w:t>-</w:t>
            </w:r>
            <w:r>
              <w:rPr>
                <w:rFonts w:eastAsia="楷体_GB2312"/>
                <w:sz w:val="24"/>
                <w:szCs w:val="20"/>
              </w:rPr>
              <w:t>液态高铅渣直接还原铅冶炼技术，锌冶炼推广富氧直接浸出湿法炼锌技术，铜（硫化铜精矿）冶炼推广闪速熔炼、富氧顶吹或底吹熔炼、奥斯麦特炉熔炼等工艺及装备。重点推广使用波立顿</w:t>
            </w:r>
            <w:r>
              <w:rPr>
                <w:rFonts w:eastAsia="楷体_GB2312"/>
                <w:sz w:val="24"/>
                <w:szCs w:val="20"/>
              </w:rPr>
              <w:t>-</w:t>
            </w:r>
            <w:r>
              <w:rPr>
                <w:rFonts w:eastAsia="楷体_GB2312"/>
                <w:sz w:val="24"/>
                <w:szCs w:val="20"/>
              </w:rPr>
              <w:t>挪威锌脱汞法、碘络合</w:t>
            </w:r>
            <w:r>
              <w:rPr>
                <w:rFonts w:eastAsia="楷体_GB2312"/>
                <w:sz w:val="24"/>
                <w:szCs w:val="20"/>
              </w:rPr>
              <w:t>-</w:t>
            </w:r>
            <w:r>
              <w:rPr>
                <w:rFonts w:eastAsia="楷体_GB2312"/>
                <w:sz w:val="24"/>
                <w:szCs w:val="20"/>
              </w:rPr>
              <w:t>电解法、硫化钠</w:t>
            </w:r>
            <w:r>
              <w:rPr>
                <w:rFonts w:eastAsia="楷体_GB2312"/>
                <w:sz w:val="24"/>
                <w:szCs w:val="20"/>
              </w:rPr>
              <w:t>+</w:t>
            </w:r>
            <w:r>
              <w:rPr>
                <w:rFonts w:eastAsia="楷体_GB2312"/>
                <w:sz w:val="24"/>
                <w:szCs w:val="20"/>
              </w:rPr>
              <w:t>氯络合法和直接冷凝法等烟气脱汞工艺，推广采用微孔膜复合滤料等新型织物材料的布袋除尘器、湿式除尘器和电除尘器等高效捕集</w:t>
            </w:r>
            <w:r>
              <w:rPr>
                <w:rFonts w:eastAsia="楷体_GB2312"/>
                <w:sz w:val="24"/>
                <w:szCs w:val="20"/>
              </w:rPr>
              <w:lastRenderedPageBreak/>
              <w:t>装置处理含铅、</w:t>
            </w:r>
            <w:r>
              <w:rPr>
                <w:rFonts w:eastAsia="楷体_GB2312" w:hint="eastAsia"/>
                <w:sz w:val="24"/>
                <w:szCs w:val="20"/>
              </w:rPr>
              <w:t>类金属</w:t>
            </w:r>
            <w:r>
              <w:rPr>
                <w:rFonts w:eastAsia="楷体_GB2312"/>
                <w:sz w:val="24"/>
                <w:szCs w:val="20"/>
              </w:rPr>
              <w:t>砷等颗粒物的烟气；推广采用</w:t>
            </w:r>
            <w:r>
              <w:rPr>
                <w:rFonts w:eastAsia="楷体_GB2312" w:hint="eastAsia"/>
                <w:sz w:val="24"/>
                <w:szCs w:val="20"/>
              </w:rPr>
              <w:t>铅锌冶炼</w:t>
            </w:r>
            <w:r>
              <w:rPr>
                <w:rFonts w:eastAsia="楷体_GB2312"/>
                <w:sz w:val="24"/>
                <w:szCs w:val="20"/>
              </w:rPr>
              <w:t>废水</w:t>
            </w:r>
            <w:r>
              <w:rPr>
                <w:rFonts w:eastAsia="楷体_GB2312" w:hint="eastAsia"/>
                <w:sz w:val="24"/>
                <w:szCs w:val="20"/>
              </w:rPr>
              <w:t>分质</w:t>
            </w:r>
            <w:r>
              <w:rPr>
                <w:rFonts w:eastAsia="楷体_GB2312"/>
                <w:sz w:val="24"/>
                <w:szCs w:val="20"/>
              </w:rPr>
              <w:t>回用集成技术</w:t>
            </w:r>
            <w:r>
              <w:rPr>
                <w:rFonts w:eastAsia="楷体_GB2312"/>
                <w:sz w:val="24"/>
              </w:rPr>
              <w:t>。</w:t>
            </w:r>
          </w:p>
          <w:p w:rsidR="00AD7E73" w:rsidRDefault="00AD7E73" w:rsidP="00CE376B">
            <w:pPr>
              <w:pStyle w:val="NewNewNewNewNewNewNewNewNewNewNewNewNewNewNewNewNewNewNewNewNewNewNewNewNewNewNew"/>
              <w:widowControl/>
              <w:spacing w:line="320" w:lineRule="exact"/>
              <w:rPr>
                <w:rFonts w:eastAsia="楷体_GB2312"/>
                <w:sz w:val="24"/>
              </w:rPr>
            </w:pPr>
            <w:r>
              <w:rPr>
                <w:rFonts w:eastAsia="楷体_GB2312"/>
                <w:b/>
                <w:sz w:val="24"/>
              </w:rPr>
              <w:t>——</w:t>
            </w:r>
            <w:r>
              <w:rPr>
                <w:rFonts w:eastAsia="楷体_GB2312"/>
                <w:b/>
                <w:sz w:val="24"/>
              </w:rPr>
              <w:t>铅酸蓄电池行业</w:t>
            </w:r>
            <w:r>
              <w:rPr>
                <w:rFonts w:eastAsia="楷体_GB2312"/>
                <w:sz w:val="24"/>
              </w:rPr>
              <w:t>：推广采用连铸连轧、连冲、拉网、压铸</w:t>
            </w:r>
            <w:r>
              <w:rPr>
                <w:rFonts w:eastAsia="楷体_GB2312" w:hint="eastAsia"/>
                <w:sz w:val="24"/>
              </w:rPr>
              <w:t>或者</w:t>
            </w:r>
            <w:r>
              <w:rPr>
                <w:rFonts w:eastAsia="楷体_GB2312"/>
                <w:sz w:val="24"/>
              </w:rPr>
              <w:t>集中供铅</w:t>
            </w:r>
            <w:r>
              <w:rPr>
                <w:rFonts w:eastAsia="楷体_GB2312"/>
                <w:sz w:val="24"/>
              </w:rPr>
              <w:t>-</w:t>
            </w:r>
            <w:r>
              <w:rPr>
                <w:rFonts w:eastAsia="楷体_GB2312"/>
                <w:sz w:val="24"/>
              </w:rPr>
              <w:t>重力浇铸板栅制造技术，推广采用智能型全自动铅粉生产技术，推广采用内化成工艺；推广采用微孔膜复合滤料</w:t>
            </w:r>
            <w:r>
              <w:rPr>
                <w:rFonts w:eastAsia="楷体_GB2312" w:hint="eastAsia"/>
                <w:sz w:val="24"/>
              </w:rPr>
              <w:t>等新</w:t>
            </w:r>
            <w:r>
              <w:rPr>
                <w:rFonts w:eastAsia="楷体_GB2312"/>
                <w:sz w:val="24"/>
              </w:rPr>
              <w:t>型织物材料的高效滤筒及其他高效除尘设备控制铅尘。</w:t>
            </w:r>
          </w:p>
          <w:p w:rsidR="00AD7E73" w:rsidRDefault="00AD7E73" w:rsidP="00CE376B">
            <w:pPr>
              <w:pStyle w:val="NewNewNewNewNewNewNewNewNewNewNewNewNewNewNewNewNewNewNewNewNewNewNewNewNewNewNew"/>
              <w:widowControl/>
              <w:spacing w:line="320" w:lineRule="exact"/>
              <w:rPr>
                <w:rFonts w:eastAsia="楷体_GB2312"/>
                <w:sz w:val="24"/>
              </w:rPr>
            </w:pPr>
            <w:r>
              <w:rPr>
                <w:rFonts w:eastAsia="楷体_GB2312"/>
                <w:b/>
                <w:sz w:val="24"/>
              </w:rPr>
              <w:t>——</w:t>
            </w:r>
            <w:r>
              <w:rPr>
                <w:rFonts w:eastAsia="楷体_GB2312"/>
                <w:b/>
                <w:sz w:val="24"/>
              </w:rPr>
              <w:t>金属表面处理及热处理加工（</w:t>
            </w:r>
            <w:r>
              <w:rPr>
                <w:rFonts w:eastAsia="楷体_GB2312"/>
                <w:b/>
                <w:bCs/>
                <w:sz w:val="24"/>
              </w:rPr>
              <w:t>电镀）</w:t>
            </w:r>
            <w:r>
              <w:rPr>
                <w:rFonts w:eastAsia="楷体_GB2312"/>
                <w:b/>
                <w:sz w:val="24"/>
              </w:rPr>
              <w:t>行业</w:t>
            </w:r>
            <w:r>
              <w:rPr>
                <w:rFonts w:eastAsia="楷体_GB2312"/>
                <w:sz w:val="24"/>
              </w:rPr>
              <w:t>：推广采用三价铬镀铬、镀锌层钝化非六价铬转化膜等工艺技术。推广采用镀铬溶液净化回收技术。</w:t>
            </w:r>
          </w:p>
          <w:p w:rsidR="00AD7E73" w:rsidRDefault="00AD7E73" w:rsidP="00CE376B">
            <w:pPr>
              <w:pStyle w:val="NewNewNewNewNewNewNewNewNewNewNewNewNewNewNewNewNewNewNewNewNewNewNewNewNewNewNew"/>
              <w:widowControl/>
              <w:spacing w:line="320" w:lineRule="exact"/>
              <w:rPr>
                <w:rFonts w:eastAsia="楷体_GB2312"/>
                <w:sz w:val="24"/>
              </w:rPr>
            </w:pPr>
            <w:r>
              <w:rPr>
                <w:rFonts w:eastAsia="楷体_GB2312"/>
                <w:b/>
                <w:sz w:val="24"/>
              </w:rPr>
              <w:t>——</w:t>
            </w:r>
            <w:r>
              <w:rPr>
                <w:rFonts w:eastAsia="楷体_GB2312" w:hint="eastAsia"/>
                <w:b/>
                <w:sz w:val="24"/>
              </w:rPr>
              <w:t>皮革及其制品制造业</w:t>
            </w:r>
            <w:r>
              <w:rPr>
                <w:rFonts w:eastAsia="楷体_GB2312"/>
                <w:sz w:val="24"/>
              </w:rPr>
              <w:t>：推广采用高吸收铬鞣及其铬鞣废液资源化利用技术，鼓励企业采用无铬鞣法技术工艺</w:t>
            </w:r>
            <w:r>
              <w:rPr>
                <w:rFonts w:eastAsia="楷体_GB2312" w:hint="eastAsia"/>
                <w:sz w:val="24"/>
              </w:rPr>
              <w:t>；</w:t>
            </w:r>
            <w:r>
              <w:rPr>
                <w:rFonts w:eastAsia="楷体_GB2312"/>
                <w:sz w:val="24"/>
              </w:rPr>
              <w:t>推广采用制革和毛皮加工主要工序废水循环使用集成技术。</w:t>
            </w:r>
          </w:p>
          <w:p w:rsidR="00AD7E73" w:rsidRDefault="00AD7E73" w:rsidP="00CE376B">
            <w:pPr>
              <w:pStyle w:val="NewNewNewNewNewNewNewNewNewNewNewNewNewNewNewNewNewNewNewNewNewNewNewNewNewNewNew"/>
              <w:widowControl/>
              <w:spacing w:line="320" w:lineRule="exact"/>
              <w:rPr>
                <w:rFonts w:eastAsia="楷体_GB2312"/>
                <w:sz w:val="24"/>
                <w:szCs w:val="20"/>
              </w:rPr>
            </w:pPr>
            <w:r>
              <w:rPr>
                <w:rFonts w:eastAsia="楷体_GB2312"/>
                <w:b/>
                <w:sz w:val="24"/>
              </w:rPr>
              <w:t>——</w:t>
            </w:r>
            <w:r>
              <w:rPr>
                <w:rFonts w:eastAsia="楷体_GB2312"/>
                <w:b/>
                <w:sz w:val="24"/>
              </w:rPr>
              <w:t>化学原料及化学制品制造业</w:t>
            </w:r>
            <w:r>
              <w:rPr>
                <w:rFonts w:eastAsia="楷体_GB2312"/>
                <w:sz w:val="24"/>
              </w:rPr>
              <w:t>：氯碱工业推广低汞触媒技术、高效汞回收技术，无机酸（硫酸）制造行业推广生物氧化法脱砷技术。</w:t>
            </w:r>
          </w:p>
        </w:tc>
      </w:tr>
    </w:tbl>
    <w:p w:rsidR="00AD7E73" w:rsidRDefault="00AD7E73" w:rsidP="00AD7E73">
      <w:pPr>
        <w:ind w:firstLineChars="200" w:firstLine="632"/>
      </w:pPr>
      <w:bookmarkStart w:id="52" w:name="_Toc468951558"/>
      <w:r>
        <w:rPr>
          <w:rFonts w:hint="eastAsia"/>
        </w:rPr>
        <w:lastRenderedPageBreak/>
        <w:t>3</w:t>
      </w:r>
      <w:r>
        <w:rPr>
          <w:rFonts w:hint="eastAsia"/>
        </w:rPr>
        <w:t>．深化重点行业污染综合整治</w:t>
      </w:r>
      <w:bookmarkEnd w:id="52"/>
      <w:r>
        <w:rPr>
          <w:rFonts w:hint="eastAsia"/>
        </w:rPr>
        <w:t>。</w:t>
      </w:r>
    </w:p>
    <w:p w:rsidR="00AD7E73" w:rsidRDefault="00AD7E73" w:rsidP="00AD7E73">
      <w:pPr>
        <w:ind w:firstLineChars="200" w:firstLine="632"/>
      </w:pPr>
      <w:r>
        <w:rPr>
          <w:rFonts w:hint="eastAsia"/>
        </w:rPr>
        <w:t>重有色金属矿采选业：按照“吸尘钻孔、封闭破碎、带水作业、防尘装卸、苫盖运输、清洁路面”要求，推行生产环节无尘作业，强化矿区作业扬尘综合治理，确保无组织排放得到有效控制。加强矿区污水治理设施建设和升级改造，强化废水中铊、锑等重金属污染治理，提升废水回用率，实现外排废水稳定达标，选矿废水回用不外排。推进矿区雨污分流设施建设，加快尾矿综合利用基地建设，推广重金属尾矿综合利用先进适用技术，建设一批尾矿综合利用重大示范项目，着力加强尾矿（尾砂）综合利用，有效缓解尾矿堆存所带来的安全隐患和环境污染。加强在用尾矿库应急防范设施建设，强化环境监管，提升库区防范环境风险水平。大力推动矿山企业编制和实施《矿山地质环境保护与土地复垦方案》，切实加强矿区和尾矿库生态环境保护与恢复治理工作。</w:t>
      </w:r>
    </w:p>
    <w:p w:rsidR="00AD7E73" w:rsidRDefault="00AD7E73" w:rsidP="00AD7E73">
      <w:pPr>
        <w:ind w:firstLineChars="200" w:firstLine="632"/>
      </w:pPr>
      <w:r>
        <w:rPr>
          <w:rFonts w:hint="eastAsia"/>
        </w:rPr>
        <w:lastRenderedPageBreak/>
        <w:t>重有色金属冶炼行业：建立矿物原料全分析监测制度，对每一批矿物原料进行全成分分析，严格控制原料矿中汞、砷、镉、铊、锑等重金属元素的含量。采取密闭等措施，加强矿物原料运输、储存和备料等过程中物料扬撒的控制，防治扬尘污染。加强废气重金属污染防治，着力推进废气收集和处理设施的升级改造，开展专门脱汞技术示范，强化废气中汞、铅、砷、镉等重金属的协同控制，严格车间无组织排放控制（无组织排放废气收集率达</w:t>
      </w:r>
      <w:r>
        <w:rPr>
          <w:rFonts w:hint="eastAsia"/>
        </w:rPr>
        <w:t>90%</w:t>
      </w:r>
      <w:r>
        <w:rPr>
          <w:rFonts w:hint="eastAsia"/>
        </w:rPr>
        <w:t>以上），实现废气重金属污染物稳定达标排放。推广采用冶炼废水分质回用集成技术，加快废水治理设施的升级改造，加强废水中铊、锑等重金属协同治理，提高生产废水循环利用率。生产区设置初期雨水和清洁雨水的分流装置，其中铅锌冶炼企业要实现主要生产区初期雨水的全收集处理，实现循环利用和达标排放。</w:t>
      </w:r>
    </w:p>
    <w:p w:rsidR="00AD7E73" w:rsidRDefault="00AD7E73" w:rsidP="00AD7E73">
      <w:pPr>
        <w:ind w:firstLineChars="200" w:firstLine="632"/>
      </w:pPr>
      <w:r>
        <w:rPr>
          <w:rFonts w:hint="eastAsia"/>
        </w:rPr>
        <w:t>金属表面处理及热处理加工行业：制定实施《关于加快推进电镀行业转型升级和绿色发展的指导意见》，继续实施电镀企业清洁化改造，全面推广三价铬镀铬、镀锌层钝化非六价铬转化膜等工艺技术，推广使用间歇逆流清洗等电镀清洗水减量化技术；推广采用镀铬、镀镍、镀铜溶液净化回收技术，减少重金属末端排放。加快推进粤东西北地区电镀企业污水治理设施的升级改造，实施企业在全指标达标排放基础上进行深度处理，提升废水回用率，</w:t>
      </w:r>
      <w:r>
        <w:rPr>
          <w:rFonts w:hint="eastAsia"/>
        </w:rPr>
        <w:t>2020</w:t>
      </w:r>
      <w:r>
        <w:rPr>
          <w:rFonts w:hint="eastAsia"/>
        </w:rPr>
        <w:t>年底前，废水回用率达</w:t>
      </w:r>
      <w:r>
        <w:rPr>
          <w:rFonts w:hint="eastAsia"/>
        </w:rPr>
        <w:t>60%</w:t>
      </w:r>
      <w:r>
        <w:rPr>
          <w:rFonts w:hint="eastAsia"/>
        </w:rPr>
        <w:t>以上。加强车间酸雾收集处理设施建设，强化无组织酸雾排放收集处理（收集率达</w:t>
      </w:r>
      <w:r>
        <w:rPr>
          <w:rFonts w:hint="eastAsia"/>
        </w:rPr>
        <w:t>90%</w:t>
      </w:r>
      <w:r>
        <w:rPr>
          <w:rFonts w:hint="eastAsia"/>
        </w:rPr>
        <w:t>以上），实现废气重金属稳定达标排放。</w:t>
      </w:r>
    </w:p>
    <w:p w:rsidR="00AD7E73" w:rsidRDefault="00AD7E73" w:rsidP="00AD7E73">
      <w:pPr>
        <w:ind w:firstLineChars="200" w:firstLine="632"/>
      </w:pPr>
      <w:r>
        <w:rPr>
          <w:rFonts w:hint="eastAsia"/>
        </w:rPr>
        <w:lastRenderedPageBreak/>
        <w:t>铅酸蓄电池制造行业：加强原料过程生产原料运输、储存和备料等过程物料扬撒的控制，原料及中间产品不宜露天堆放。加强生产线密闭化和操作机械化的改造。采取负压或加装集尘罩等措施，严格控制废气无组织排放，实现车间无组织排放收集率达</w:t>
      </w:r>
      <w:r>
        <w:rPr>
          <w:rFonts w:hint="eastAsia"/>
        </w:rPr>
        <w:t>90%</w:t>
      </w:r>
      <w:r>
        <w:rPr>
          <w:rFonts w:hint="eastAsia"/>
        </w:rPr>
        <w:t>以上。升级改造废气处理设施，推广采用微孔膜复合滤料等新型织物材料的高效滤筒及其他高效除尘设备，强化铅烟、铅尘的治理，实现稳定达标排放，提升生产废水的回用率，鼓励生产废水全部循环利用。</w:t>
      </w:r>
    </w:p>
    <w:p w:rsidR="00AD7E73" w:rsidRDefault="00AD7E73" w:rsidP="00AD7E73">
      <w:pPr>
        <w:ind w:firstLineChars="200" w:firstLine="632"/>
      </w:pPr>
      <w:r>
        <w:rPr>
          <w:rFonts w:hint="eastAsia"/>
        </w:rPr>
        <w:t>皮革及其制品制造业：鼓励企业采用蓝湿皮和成品革进行加工，减少生皮加工带来的重金属污染物排放。大力推广高吸收铬鞣技术，鼓励企业使用无铬技术，减少生产环节铬的排放；推广铬鞣废液资源化利用技术，减少末端铬排放。加快推进企业废水治理设施的提标升级改造，强化废水的分质处理，实现污染物全指标稳定达标排放。</w:t>
      </w:r>
    </w:p>
    <w:p w:rsidR="00AD7E73" w:rsidRDefault="00AD7E73" w:rsidP="00AD7E73">
      <w:pPr>
        <w:ind w:firstLineChars="200" w:firstLine="632"/>
      </w:pPr>
      <w:r>
        <w:rPr>
          <w:rFonts w:hint="eastAsia"/>
        </w:rPr>
        <w:t>化学原料及化学制品制造业：重点加强硫铁矿焙烧制酸等涉铊典型企业污染治理设施的升级改造，强化废气和废水中铊等重金属的协同处理控制，实现稳定达标排放。加强企业原料和废渣堆放存储场所的规范化建设，禁止露天堆放。</w:t>
      </w:r>
    </w:p>
    <w:p w:rsidR="00AD7E73" w:rsidRDefault="00AD7E73" w:rsidP="00AD7E73">
      <w:pPr>
        <w:ind w:firstLineChars="200" w:firstLine="632"/>
        <w:rPr>
          <w:rFonts w:ascii="楷体_GB2312" w:eastAsia="楷体_GB2312" w:hAnsi="楷体_GB2312" w:cs="楷体_GB2312" w:hint="eastAsia"/>
        </w:rPr>
      </w:pPr>
      <w:bookmarkStart w:id="53" w:name="_Toc468951559"/>
      <w:bookmarkStart w:id="54" w:name="_Toc28406"/>
      <w:bookmarkStart w:id="55" w:name="_Toc16072"/>
      <w:r>
        <w:rPr>
          <w:rFonts w:ascii="楷体_GB2312" w:eastAsia="楷体_GB2312" w:hAnsi="楷体_GB2312" w:cs="楷体_GB2312" w:hint="eastAsia"/>
        </w:rPr>
        <w:t>（三）狠抓重点区域，改善环境质量</w:t>
      </w:r>
      <w:bookmarkEnd w:id="53"/>
      <w:bookmarkEnd w:id="54"/>
      <w:bookmarkEnd w:id="55"/>
      <w:r>
        <w:rPr>
          <w:rFonts w:ascii="楷体_GB2312" w:eastAsia="楷体_GB2312" w:hAnsi="楷体_GB2312" w:cs="楷体_GB2312" w:hint="eastAsia"/>
        </w:rPr>
        <w:t>。</w:t>
      </w:r>
    </w:p>
    <w:p w:rsidR="00AD7E73" w:rsidRDefault="00AD7E73" w:rsidP="00AD7E73">
      <w:pPr>
        <w:ind w:firstLineChars="200" w:firstLine="632"/>
      </w:pPr>
      <w:bookmarkStart w:id="56" w:name="_Toc468951560"/>
      <w:r>
        <w:rPr>
          <w:rFonts w:hint="eastAsia"/>
        </w:rPr>
        <w:t>1</w:t>
      </w:r>
      <w:r>
        <w:rPr>
          <w:rFonts w:hint="eastAsia"/>
        </w:rPr>
        <w:t>．加强重点防控区综合整治</w:t>
      </w:r>
      <w:bookmarkEnd w:id="56"/>
      <w:r>
        <w:rPr>
          <w:rFonts w:hint="eastAsia"/>
        </w:rPr>
        <w:t>。</w:t>
      </w:r>
    </w:p>
    <w:p w:rsidR="00AD7E73" w:rsidRDefault="00AD7E73" w:rsidP="00AD7E73">
      <w:pPr>
        <w:ind w:firstLineChars="200" w:firstLine="632"/>
      </w:pPr>
      <w:r>
        <w:rPr>
          <w:rFonts w:hint="eastAsia"/>
        </w:rPr>
        <w:t>深入推进重点防控区重金属污染环境综合整治，有效解决突出的重金属污染历史遗留问题，改善重金属环境质量。</w:t>
      </w:r>
    </w:p>
    <w:p w:rsidR="00AD7E73" w:rsidRDefault="00AD7E73" w:rsidP="00AD7E73">
      <w:pPr>
        <w:ind w:firstLineChars="200" w:firstLine="632"/>
      </w:pPr>
      <w:r>
        <w:rPr>
          <w:rFonts w:hint="eastAsia"/>
        </w:rPr>
        <w:lastRenderedPageBreak/>
        <w:t>（</w:t>
      </w:r>
      <w:r>
        <w:rPr>
          <w:rFonts w:hint="eastAsia"/>
        </w:rPr>
        <w:t>1</w:t>
      </w:r>
      <w:r>
        <w:rPr>
          <w:rFonts w:hint="eastAsia"/>
        </w:rPr>
        <w:t>）国家重点防控区</w:t>
      </w:r>
    </w:p>
    <w:p w:rsidR="00AD7E73" w:rsidRDefault="00AD7E73" w:rsidP="00AD7E73">
      <w:pPr>
        <w:ind w:firstLineChars="200" w:firstLine="632"/>
      </w:pPr>
      <w:r>
        <w:rPr>
          <w:rFonts w:hint="eastAsia"/>
        </w:rPr>
        <w:t>珠三角电镀区：依法关停园区（基地）外污染严重、难以治理又拒不进入定点园区（基地）的企业。加快推进电镀、皮革园区（基地）污染治理设施的升级改造和废水深度处理回用，鼓励有条件的园区（基地）建设配套的危险废物处理处置设施，打造一批电镀和皮革循环经济创新示范园区（基地）。继续实施电镀和皮革加工企业的入园搬迁，推动电镀和皮革制造行业园区化、专业化发展。大力开展电镀和皮革制造行业清洁生产技术示范，培育一批行业领跑企业。</w:t>
      </w:r>
    </w:p>
    <w:p w:rsidR="00AD7E73" w:rsidRDefault="00AD7E73" w:rsidP="00AD7E73">
      <w:pPr>
        <w:ind w:firstLineChars="200" w:firstLine="632"/>
      </w:pPr>
      <w:r>
        <w:rPr>
          <w:rFonts w:hint="eastAsia"/>
        </w:rPr>
        <w:t>韶关乐昌市：深入实施《韶关市涉重金属行业环境综合整治方案（</w:t>
      </w:r>
      <w:r>
        <w:rPr>
          <w:rFonts w:hint="eastAsia"/>
        </w:rPr>
        <w:t>2015-2020</w:t>
      </w:r>
      <w:r>
        <w:rPr>
          <w:rFonts w:hint="eastAsia"/>
        </w:rPr>
        <w:t>年）》，以乐昌铅锌矿为重点，加强矿山采选企业废水治理设施的建设，强化选矿废水治理设施的升级改造，实现选矿废水回用不外排。加快推进矿山采选企业尾矿砂的综合利用，加强矿区和尾矿库生态修复，降低重金属污染环境风险。加快推动铅酸蓄电池行业清洁化改造，推广采用智能型全自动铅粉生产技术。加强武水河流域环境综合整治，构建流域上下游的联防联治体系。</w:t>
      </w:r>
    </w:p>
    <w:p w:rsidR="00AD7E73" w:rsidRDefault="00AD7E73" w:rsidP="00AD7E73">
      <w:pPr>
        <w:ind w:firstLineChars="200" w:firstLine="632"/>
      </w:pPr>
      <w:r>
        <w:rPr>
          <w:rFonts w:hint="eastAsia"/>
        </w:rPr>
        <w:t>汕头潮阳区：深入实施《汕头市贵屿地区电子废物污染综合整治方案》，着力加强区域电子废弃物拆解循环经济产业园区建设，提升园区绿色发展水平。按照“培育一批领跑企业、整合一批小散企业”的思路，鼓励企业实施兼并组合，实施电子废物回收利用工艺流程改造等技术改造，进一步降低电子拆解企业重金属污</w:t>
      </w:r>
      <w:r>
        <w:rPr>
          <w:rFonts w:hint="eastAsia"/>
        </w:rPr>
        <w:lastRenderedPageBreak/>
        <w:t>染物排放强度。严格控制电子废物回收流通环节，构建电子废物回收体系。进一步完善区域环保设施建设，着力推进北港河环境综合治理以及周边受污染农田和拆解场地污染土壤的修复治理，实施一批生态治理修复工程项目，推动贵屿镇村环境不断好转，到</w:t>
      </w:r>
      <w:r>
        <w:rPr>
          <w:rFonts w:hint="eastAsia"/>
        </w:rPr>
        <w:t>2020</w:t>
      </w:r>
      <w:r>
        <w:rPr>
          <w:rFonts w:hint="eastAsia"/>
        </w:rPr>
        <w:t>年，实现大气、水环境质量监测点位重金属指标稳定达标。</w:t>
      </w:r>
    </w:p>
    <w:p w:rsidR="00AD7E73" w:rsidRDefault="00AD7E73" w:rsidP="00AD7E73">
      <w:pPr>
        <w:ind w:firstLineChars="200" w:firstLine="632"/>
      </w:pPr>
      <w:r>
        <w:rPr>
          <w:rFonts w:hint="eastAsia"/>
        </w:rPr>
        <w:t>清远清城区：深入实施《清远市电子废弃物污染环境整治规划（</w:t>
      </w:r>
      <w:r>
        <w:rPr>
          <w:rFonts w:hint="eastAsia"/>
        </w:rPr>
        <w:t>2012-2020</w:t>
      </w:r>
      <w:r>
        <w:rPr>
          <w:rFonts w:hint="eastAsia"/>
        </w:rPr>
        <w:t>）》，按照“取缔一批，整合一批”的思路，着力推进电子废弃物拆解企业的搬迁入园整治，加快电子废弃物拆解环保型循环经济园区建设，加强园区污染治理设施建设，提升园区生态化建设水平。实施有色金属冶炼、电镀等重点行业清洁化改造，加强治理设施的升级改造，强化废气重金属排放控制，降低重金属排放强度。加强区域重金属污染历史遗留问题整治，加快遗留重金属残渣的清理，着力推进龙塘河和长冲河的综合整治，逐步改善区域重金属环境质量。</w:t>
      </w:r>
    </w:p>
    <w:p w:rsidR="00AD7E73" w:rsidRDefault="00AD7E73" w:rsidP="00AD7E73">
      <w:pPr>
        <w:ind w:firstLineChars="200" w:firstLine="632"/>
      </w:pPr>
      <w:r>
        <w:rPr>
          <w:rFonts w:hint="eastAsia"/>
        </w:rPr>
        <w:t>韶关浈江区：深入实施《韶关市涉重金属行业环境综合整治方案（</w:t>
      </w:r>
      <w:r>
        <w:rPr>
          <w:rFonts w:hint="eastAsia"/>
        </w:rPr>
        <w:t>2015-2020</w:t>
      </w:r>
      <w:r>
        <w:rPr>
          <w:rFonts w:hint="eastAsia"/>
        </w:rPr>
        <w:t>年）》，加快实施韶关冶炼厂的搬迁，加强金属冶炼、冶炼废渣资源回收利用等企业污染治理设施升级改造，协同控制汞、铅、镉、砷、铊、锑等重金属的排放。加强企业无组织排放的控制与治理，实现废气重金属稳定达标排放。</w:t>
      </w:r>
    </w:p>
    <w:p w:rsidR="00AD7E73" w:rsidRDefault="00AD7E73" w:rsidP="00AD7E73">
      <w:pPr>
        <w:ind w:firstLineChars="200" w:firstLine="632"/>
      </w:pPr>
      <w:r>
        <w:rPr>
          <w:rFonts w:hint="eastAsia"/>
        </w:rPr>
        <w:t>韶关凡口铅锌矿周边地区：落实《仁化县董塘镇环境综合整治方案》重点任务措施和工程项目，着力推进丹霞冶炼厂等金属</w:t>
      </w:r>
      <w:r>
        <w:rPr>
          <w:rFonts w:hint="eastAsia"/>
        </w:rPr>
        <w:lastRenderedPageBreak/>
        <w:t>冶炼企业技术改造，鼓励采用国内或国际先进的有色金属短流程冶炼工艺。加强污染治理设施的升级改造，推广冶炼企业废水分质回用集成技术，推广采用高效捕集装置处理含重金属烟气，减少末端重金属排放。着力推进凡口铅锌矿伴生矿及尾砂循环利用等尾矿库尾砂综合利用示范工程建设，提高尾矿库尾砂综合利用水平，降低尾矿库尾砂堆存带来的环境安全隐患。</w:t>
      </w:r>
    </w:p>
    <w:p w:rsidR="00AD7E73" w:rsidRDefault="00AD7E73" w:rsidP="00AD7E73">
      <w:pPr>
        <w:ind w:firstLineChars="200" w:firstLine="632"/>
      </w:pPr>
      <w:r>
        <w:rPr>
          <w:rFonts w:hint="eastAsia"/>
        </w:rPr>
        <w:t>韶关大宝山矿区及周边地区：深入实施《广东省大宝山矿区及周边环境保护与综合整治方案（</w:t>
      </w:r>
      <w:r>
        <w:rPr>
          <w:rFonts w:hint="eastAsia"/>
        </w:rPr>
        <w:t>2010-2020</w:t>
      </w:r>
      <w:r>
        <w:rPr>
          <w:rFonts w:hint="eastAsia"/>
        </w:rPr>
        <w:t>年）》，持续推动区域涉重金属产业结构和布局优化调整。加快李屋拦泥库清渣工程进度，切实做好“控源截污”工程，强化尾矿库污水处理厂运行日常监管，加快建设横石水流域重金属综合整治国家示范区，开展横石河河道生态修复，逐步恢复流域生态功能，促进流域重金属环境质量明显改善，力争到</w:t>
      </w:r>
      <w:r>
        <w:rPr>
          <w:rFonts w:hint="eastAsia"/>
        </w:rPr>
        <w:t>2020</w:t>
      </w:r>
      <w:r>
        <w:rPr>
          <w:rFonts w:hint="eastAsia"/>
        </w:rPr>
        <w:t>年横石水监测断面主控重金属稳定达标。</w:t>
      </w:r>
    </w:p>
    <w:p w:rsidR="00AD7E73" w:rsidRDefault="00AD7E73" w:rsidP="00AD7E73">
      <w:pPr>
        <w:ind w:firstLineChars="200" w:firstLine="632"/>
      </w:pPr>
      <w:r>
        <w:rPr>
          <w:rFonts w:hint="eastAsia"/>
        </w:rPr>
        <w:t>（</w:t>
      </w:r>
      <w:r>
        <w:rPr>
          <w:rFonts w:hint="eastAsia"/>
        </w:rPr>
        <w:t>2</w:t>
      </w:r>
      <w:r>
        <w:rPr>
          <w:rFonts w:hint="eastAsia"/>
        </w:rPr>
        <w:t>）省重点防控区</w:t>
      </w:r>
    </w:p>
    <w:p w:rsidR="00AD7E73" w:rsidRDefault="00AD7E73" w:rsidP="00AD7E73">
      <w:pPr>
        <w:ind w:firstLineChars="200" w:firstLine="632"/>
        <w:rPr>
          <w:rFonts w:hint="eastAsia"/>
        </w:rPr>
      </w:pPr>
      <w:r>
        <w:rPr>
          <w:rFonts w:hint="eastAsia"/>
        </w:rPr>
        <w:t>茂名市高州市、茂南区：着重推进区域皮革行业环境综合整治，强化对皮革制造企业的执法监督，杜绝取缔关停企业“死灰复燃”，加强制革废渣废料安全处理处置，加快废水治理设施升级改造，实现废水稳定达标排放。大力推进高州皮革加工统一定点园区建设，明确园区分质排放、精细管理的相关要求，建设完善污水集中处理等环保基础设施，逐步推进企业入园清洁化改造，加强污染集中控制，降低重金属排放量。</w:t>
      </w:r>
    </w:p>
    <w:p w:rsidR="00AD7E73" w:rsidRDefault="00AD7E73" w:rsidP="00AD7E73">
      <w:pPr>
        <w:ind w:firstLineChars="200" w:firstLine="632"/>
      </w:pPr>
      <w:r>
        <w:rPr>
          <w:rFonts w:hint="eastAsia"/>
        </w:rPr>
        <w:lastRenderedPageBreak/>
        <w:t>云浮市云城区、云安区：加强云浮硫铁矿矿区环境综合整治，推进矿区雨污分流设施建设，实施清污分流；升级改造矿区废水治理设施，强化废水中重金属铊的协同控制。依托云浮硫铁矿企业集团公司，加强云浮市云安区循环经济化工示范基地建设，创建硫资源综合利用示范区，提升硫铁矿资源综合利用水平。全面推进云硫化工厂等硫化工企业清洁生产改造，重点加强污染治理设施的升级改造，强化废水中砷、铊等重金属的协同治理，降低重金属排放量。</w:t>
      </w:r>
    </w:p>
    <w:p w:rsidR="00AD7E73" w:rsidRDefault="00AD7E73" w:rsidP="00AD7E73">
      <w:pPr>
        <w:ind w:firstLineChars="200" w:firstLine="632"/>
      </w:pPr>
      <w:bookmarkStart w:id="57" w:name="_Toc468951561"/>
      <w:r>
        <w:rPr>
          <w:rFonts w:hint="eastAsia"/>
        </w:rPr>
        <w:t>2</w:t>
      </w:r>
      <w:r>
        <w:rPr>
          <w:rFonts w:hint="eastAsia"/>
        </w:rPr>
        <w:t>．加强土壤重金属污染综合防治</w:t>
      </w:r>
      <w:bookmarkEnd w:id="57"/>
      <w:r>
        <w:rPr>
          <w:rFonts w:hint="eastAsia"/>
        </w:rPr>
        <w:t>。</w:t>
      </w:r>
    </w:p>
    <w:p w:rsidR="00AD7E73" w:rsidRDefault="00AD7E73" w:rsidP="00AD7E73">
      <w:pPr>
        <w:ind w:firstLineChars="200" w:firstLine="632"/>
        <w:rPr>
          <w:rFonts w:hint="eastAsia"/>
        </w:rPr>
      </w:pPr>
      <w:r>
        <w:rPr>
          <w:rFonts w:hint="eastAsia"/>
        </w:rPr>
        <w:t>全面实施《广东省土壤污染防治行动计划实施方案》，加强土壤重金属污染综合防控。建设韶关市土壤污染综合防治先行区，重点在土壤污染源头预防、风险管控、治理与修复、监管能力建设等方面进行探索，力争到</w:t>
      </w:r>
      <w:r>
        <w:rPr>
          <w:rFonts w:hint="eastAsia"/>
        </w:rPr>
        <w:t>2020</w:t>
      </w:r>
      <w:r>
        <w:rPr>
          <w:rFonts w:hint="eastAsia"/>
        </w:rPr>
        <w:t>年区域土壤环境质量得到明显改善；广州、深圳、佛山、中山等珠三角地级以上市结合“三旧”改造实际开展关闭搬迁企业地块环境监管试点，强化污染地块开发利用环境监管；韶关多金属矿山集中区以镉、铅等重金属污染为重点，对污染耕地采取农艺调控、种植结构调整等措施，严控农产品超标风险；清远清城区和汕头贵屿以电子废物拆解遗留场地和以铜、铅等重金属污染的农田为主，强化污染场地开发利用的环境监管和污染耕地的治理修复；汕头澄海区以莲花山矿区周边受污染耕地为重点，强化砷等历史遗留土壤污染治理，严控农产品超标风险。</w:t>
      </w:r>
      <w:bookmarkStart w:id="58" w:name="_Toc468951562"/>
    </w:p>
    <w:p w:rsidR="00AD7E73" w:rsidRDefault="00AD7E73" w:rsidP="00AD7E73">
      <w:pPr>
        <w:ind w:firstLineChars="200" w:firstLine="632"/>
      </w:pPr>
      <w:r>
        <w:rPr>
          <w:rFonts w:hint="eastAsia"/>
        </w:rPr>
        <w:lastRenderedPageBreak/>
        <w:t>3</w:t>
      </w:r>
      <w:r>
        <w:rPr>
          <w:rFonts w:hint="eastAsia"/>
        </w:rPr>
        <w:t>．加强涉重金属工业园区（基地）环境管理</w:t>
      </w:r>
      <w:bookmarkEnd w:id="58"/>
      <w:r>
        <w:rPr>
          <w:rFonts w:hint="eastAsia"/>
        </w:rPr>
        <w:t>。</w:t>
      </w:r>
    </w:p>
    <w:p w:rsidR="00AD7E73" w:rsidRDefault="00AD7E73" w:rsidP="00AD7E73">
      <w:pPr>
        <w:ind w:firstLineChars="200" w:firstLine="632"/>
        <w:rPr>
          <w:rFonts w:hint="eastAsia"/>
        </w:rPr>
      </w:pPr>
      <w:r>
        <w:rPr>
          <w:rFonts w:hint="eastAsia"/>
        </w:rPr>
        <w:t>涉重金属工业园区（基地）应严格建设项目环境准入标准，科学评估园区（基地）环境风险，提出园区（基地）风险防范工程措施，推进园区化集中建设、集中管理，实现产业集聚发展。加快推进中德金属生态城等涉重金属工业园区建设，建设污水处理设施、固体废物收集处理系统及雨污分流系统等环保基础设施，确保污染治理设施与园区（基地）同步规划、同步建设、同步投入使用。全面推进顺德杏坛电镀集中区、中山高平电镀基地等电镀工业园区（基地）的清洁化、循环化、低碳化改造，提升园区（基地）污染治理水平。研究制定涉重金属工业园区（基地）建设、环境综合整治、规范管理标准，明确分质排放、精细管理主要技术要求。鼓励和推进有条件的园区（基地）配套建设危险废物处置设施，提升园区（基地）危险废物处理处置能力。对建成的涉重金属工业园区（基地），环保基础设施不完善或治理设施长期运行不正常的，暂停审批园区（基地）内生产建设项目。加强园区（基地）风险防控及应急设施建设，完善事故应急体系，全面提升园区（基地）风险防控和事故应急处置能力。</w:t>
      </w:r>
    </w:p>
    <w:p w:rsidR="00AD7E73" w:rsidRDefault="00AD7E73" w:rsidP="00AD7E73">
      <w:pPr>
        <w:ind w:firstLineChars="200" w:firstLine="632"/>
        <w:rPr>
          <w:rFonts w:ascii="楷体_GB2312" w:eastAsia="楷体_GB2312" w:hAnsi="楷体_GB2312" w:cs="楷体_GB2312" w:hint="eastAsia"/>
          <w:highlight w:val="yellow"/>
        </w:rPr>
      </w:pPr>
      <w:bookmarkStart w:id="59" w:name="_Toc468951563"/>
      <w:bookmarkStart w:id="60" w:name="_Toc14220"/>
      <w:bookmarkStart w:id="61" w:name="_Toc4490"/>
      <w:r>
        <w:rPr>
          <w:rFonts w:ascii="楷体_GB2312" w:eastAsia="楷体_GB2312" w:hAnsi="楷体_GB2312" w:cs="楷体_GB2312" w:hint="eastAsia"/>
        </w:rPr>
        <w:t>（四）强化风险管控，保障环境安全</w:t>
      </w:r>
      <w:bookmarkEnd w:id="59"/>
      <w:bookmarkEnd w:id="60"/>
      <w:bookmarkEnd w:id="61"/>
      <w:r>
        <w:rPr>
          <w:rFonts w:ascii="楷体_GB2312" w:eastAsia="楷体_GB2312" w:hAnsi="楷体_GB2312" w:cs="楷体_GB2312" w:hint="eastAsia"/>
        </w:rPr>
        <w:t>。</w:t>
      </w:r>
    </w:p>
    <w:p w:rsidR="00AD7E73" w:rsidRDefault="00AD7E73" w:rsidP="00AD7E73">
      <w:pPr>
        <w:ind w:firstLineChars="200" w:firstLine="632"/>
      </w:pPr>
      <w:bookmarkStart w:id="62" w:name="_Toc468951564"/>
      <w:r>
        <w:rPr>
          <w:rFonts w:hint="eastAsia"/>
        </w:rPr>
        <w:t>1</w:t>
      </w:r>
      <w:r>
        <w:rPr>
          <w:rFonts w:hint="eastAsia"/>
        </w:rPr>
        <w:t>．加强涉重污染源环境风险管控</w:t>
      </w:r>
      <w:bookmarkEnd w:id="62"/>
      <w:r>
        <w:rPr>
          <w:rFonts w:hint="eastAsia"/>
        </w:rPr>
        <w:t>。</w:t>
      </w:r>
    </w:p>
    <w:p w:rsidR="00AD7E73" w:rsidRDefault="00AD7E73" w:rsidP="00AD7E73">
      <w:pPr>
        <w:ind w:firstLineChars="200" w:firstLine="632"/>
      </w:pPr>
      <w:r>
        <w:rPr>
          <w:rFonts w:hint="eastAsia"/>
        </w:rPr>
        <w:t>推动涉重金属排放企业做好环境风险申报工作，全面掌握企业环境风险现状，并逐步将企业环境风险及含重金属原辅材料纳入常态化管理。建立环境风险隐患自查制度，企事业单位须定期</w:t>
      </w:r>
      <w:r>
        <w:rPr>
          <w:rFonts w:hint="eastAsia"/>
        </w:rPr>
        <w:lastRenderedPageBreak/>
        <w:t>对内部环境风险隐患进行排查，对环境风险隐患登记、报告、治理、评估、销号进行全过程管理，并定时向环保部门报告。各级环保部门要定期对企业环境风险隐患排查情况定期巡查监督，督促企业落实重金属环境风险防控主体责任，编制突发事件应急预案，推广“标杆式”、“卡片式”预案管理模式，健全环境应急体系和环境风险防范措施，提高重金属污染事故应急反应能力。</w:t>
      </w:r>
    </w:p>
    <w:p w:rsidR="00AD7E73" w:rsidRDefault="00AD7E73" w:rsidP="00AD7E73">
      <w:pPr>
        <w:ind w:firstLineChars="200" w:firstLine="632"/>
      </w:pPr>
      <w:bookmarkStart w:id="63" w:name="_Toc468951565"/>
      <w:r>
        <w:rPr>
          <w:rFonts w:hint="eastAsia"/>
        </w:rPr>
        <w:t>2</w:t>
      </w:r>
      <w:r>
        <w:rPr>
          <w:rFonts w:hint="eastAsia"/>
        </w:rPr>
        <w:t>．强化涉重危险废物安全处理处置</w:t>
      </w:r>
      <w:bookmarkEnd w:id="63"/>
      <w:r>
        <w:rPr>
          <w:rFonts w:hint="eastAsia"/>
        </w:rPr>
        <w:t>。</w:t>
      </w:r>
    </w:p>
    <w:p w:rsidR="00AD7E73" w:rsidRDefault="00AD7E73" w:rsidP="00AD7E73">
      <w:pPr>
        <w:ind w:firstLineChars="200" w:firstLine="632"/>
      </w:pPr>
      <w:r>
        <w:rPr>
          <w:rFonts w:hint="eastAsia"/>
        </w:rPr>
        <w:t>加快重点区域有色金属冶炼废渣、含汞废物等无害化利用和处置工程建设。以电镀统一定点基地和大型有色金属采选和冶炼企业为重点，加强含重金属危险废物处理处置的技术研发、示范和推广，配套建设危险废物处理处置设施。加快推进江门、茂名市危险废物处置中心建设，鼓励有条件的地区单独建设或跨区域合作建设危险废物处理处置中心，着力加强含铬废物、焚烧处置残渣、垃圾焚烧厂飞灰等处置能力严重不足的危险废物处理处置，全面提升危险废物安全处理处置能力。规范含重金属危险废物产生单位自建贮存和利用处置设施的达标安全运行管理。加强废弃荧光灯管、废弃体温计和血压计、垃圾焚烧厂飞灰的安全存储和处置。建立全省危险废物环境管理信息系统，强化含重金属危险废物存储、转移运输、处理处置过程的全过程监控，实现含重金属危险废物安全处置率达</w:t>
      </w:r>
      <w:r>
        <w:rPr>
          <w:rFonts w:hint="eastAsia"/>
        </w:rPr>
        <w:t>100%</w:t>
      </w:r>
      <w:r>
        <w:rPr>
          <w:rFonts w:hint="eastAsia"/>
        </w:rPr>
        <w:t>。</w:t>
      </w:r>
    </w:p>
    <w:p w:rsidR="00AD7E73" w:rsidRDefault="00AD7E73" w:rsidP="00AD7E73">
      <w:pPr>
        <w:ind w:firstLineChars="200" w:firstLine="632"/>
      </w:pPr>
      <w:bookmarkStart w:id="64" w:name="_Toc468951566"/>
      <w:r>
        <w:rPr>
          <w:rFonts w:hint="eastAsia"/>
        </w:rPr>
        <w:t>3</w:t>
      </w:r>
      <w:r>
        <w:rPr>
          <w:rFonts w:hint="eastAsia"/>
        </w:rPr>
        <w:t>．加强污染场地风险管控</w:t>
      </w:r>
      <w:bookmarkEnd w:id="64"/>
      <w:r>
        <w:rPr>
          <w:rFonts w:hint="eastAsia"/>
        </w:rPr>
        <w:t>。</w:t>
      </w:r>
    </w:p>
    <w:p w:rsidR="00AD7E73" w:rsidRDefault="00AD7E73" w:rsidP="00AD7E73">
      <w:pPr>
        <w:ind w:firstLineChars="200" w:firstLine="632"/>
        <w:rPr>
          <w:rFonts w:hint="eastAsia"/>
        </w:rPr>
      </w:pPr>
      <w:r>
        <w:rPr>
          <w:rFonts w:hint="eastAsia"/>
        </w:rPr>
        <w:t>建立污染场地清单，重点以拟再开发利用的已关停并转、破</w:t>
      </w:r>
      <w:r>
        <w:rPr>
          <w:rFonts w:hint="eastAsia"/>
        </w:rPr>
        <w:lastRenderedPageBreak/>
        <w:t>产、搬迁的化工、金属冶炼、农药、电镀、危险化学品企业原有场地及其他重点监管工业企业场地为对象，组织开展工业用地土壤污染状况调查和风险排查，划分风险等级，建立污染场地档案和信息管理系统，确定优先监管的污染场地清单。实施污染场地分类管理，强化污染场地开发利用环境管理，严格控制污染场地土地流转和二次开发，建立建设用地流转强制调查评估制度。</w:t>
      </w:r>
      <w:bookmarkStart w:id="65" w:name="_Toc468951567"/>
    </w:p>
    <w:p w:rsidR="00AD7E73" w:rsidRDefault="00AD7E73" w:rsidP="00AD7E73">
      <w:pPr>
        <w:ind w:firstLineChars="200" w:firstLine="632"/>
      </w:pPr>
      <w:r>
        <w:rPr>
          <w:rFonts w:hint="eastAsia"/>
        </w:rPr>
        <w:t>4</w:t>
      </w:r>
      <w:r>
        <w:rPr>
          <w:rFonts w:hint="eastAsia"/>
        </w:rPr>
        <w:t>．加强重金属环境健康诊疗与恢复</w:t>
      </w:r>
      <w:bookmarkEnd w:id="65"/>
      <w:r>
        <w:rPr>
          <w:rFonts w:hint="eastAsia"/>
        </w:rPr>
        <w:t>。</w:t>
      </w:r>
    </w:p>
    <w:p w:rsidR="00AD7E73" w:rsidRDefault="00AD7E73" w:rsidP="00AD7E73">
      <w:pPr>
        <w:ind w:firstLineChars="200" w:firstLine="632"/>
        <w:rPr>
          <w:rFonts w:hint="eastAsia"/>
        </w:rPr>
      </w:pPr>
      <w:r>
        <w:rPr>
          <w:rFonts w:hint="eastAsia"/>
        </w:rPr>
        <w:t>加强健康风险调查与评估。依托环境健康专项调查工作，深入推进重金属污染环境健康调查与评估。针对重金属污染重点防控区，定期开展水体、土壤、农作物环境样品布点、样品采集与检测分析，建立动态化的重金属污染数据库。</w:t>
      </w:r>
    </w:p>
    <w:p w:rsidR="00AD7E73" w:rsidRDefault="00AD7E73" w:rsidP="00AD7E73">
      <w:pPr>
        <w:ind w:firstLineChars="200" w:firstLine="632"/>
        <w:rPr>
          <w:rFonts w:hint="eastAsia"/>
        </w:rPr>
      </w:pPr>
      <w:r>
        <w:rPr>
          <w:rFonts w:hint="eastAsia"/>
        </w:rPr>
        <w:t>建立健全重金属污染环境健康综合监测体系和诊疗体系。加强重金属污染重点防控区重金属污染生物检测、健康体检和诊疗救治机构与能力建设，根据重金属污染特征，配备相应的检测人员、设备。完善重金属污染高风险人群健康监测网络和人体重金属污染报告制度，定期对重金属污染高风险区域内食品、饮用水进行重金属监测，对幼儿、中小学生和涉重企业一线职工等高风险人群进行生物监测。落实企业职业卫生防护设施和职业卫生管理制度，加大对涉重金属污染的企业职业卫生监督检测和职业健康监护情况的监督检查力度，加强职工安全防护，提高职业病防治水平。</w:t>
      </w:r>
    </w:p>
    <w:p w:rsidR="00AD7E73" w:rsidRDefault="00AD7E73" w:rsidP="00AD7E73">
      <w:pPr>
        <w:ind w:firstLineChars="200" w:firstLine="632"/>
        <w:rPr>
          <w:rFonts w:ascii="楷体_GB2312" w:eastAsia="楷体_GB2312" w:hAnsi="楷体_GB2312" w:cs="楷体_GB2312" w:hint="eastAsia"/>
        </w:rPr>
      </w:pPr>
      <w:r>
        <w:rPr>
          <w:rFonts w:hint="eastAsia"/>
        </w:rPr>
        <w:t>加强农产品安全保障。完善重金属污染重点防控区农产品生</w:t>
      </w:r>
      <w:r>
        <w:rPr>
          <w:rFonts w:hint="eastAsia"/>
        </w:rPr>
        <w:lastRenderedPageBreak/>
        <w:t>产、流通、消费监管，重点加强粮食、蔬菜、肉禽蛋奶、水产品等的重金属监测评估，防止受污染农产品流入市场。加强农药、化肥及饲料生产过程中重金属添加剂的使用监管，研究并推广重金属低累积农作物品种。完善农田土壤重金属监测网络，对重点区域污染严重的农田、蔬菜基地开展重金属污染定期监测，建立农产品产地安全档案。加强对工业废渣、生活垃圾和畜禽粪便作为农用的管理，不符合农用标准的不得进入农业生产区域。</w:t>
      </w:r>
      <w:bookmarkStart w:id="66" w:name="_Toc468951568"/>
      <w:bookmarkStart w:id="67" w:name="_Toc12891"/>
      <w:bookmarkStart w:id="68" w:name="_Toc8849"/>
    </w:p>
    <w:p w:rsidR="00AD7E73" w:rsidRDefault="00AD7E73" w:rsidP="00AD7E73">
      <w:pPr>
        <w:ind w:firstLineChars="200" w:firstLine="632"/>
        <w:rPr>
          <w:rFonts w:ascii="楷体_GB2312" w:eastAsia="楷体_GB2312" w:hAnsi="楷体_GB2312" w:cs="楷体_GB2312" w:hint="eastAsia"/>
        </w:rPr>
      </w:pPr>
      <w:r>
        <w:rPr>
          <w:rFonts w:ascii="楷体_GB2312" w:eastAsia="楷体_GB2312" w:hAnsi="楷体_GB2312" w:cs="楷体_GB2312" w:hint="eastAsia"/>
        </w:rPr>
        <w:t>（五）加强能力建设，提升管理水平</w:t>
      </w:r>
      <w:bookmarkEnd w:id="66"/>
      <w:bookmarkEnd w:id="67"/>
      <w:bookmarkEnd w:id="68"/>
      <w:r>
        <w:rPr>
          <w:rFonts w:ascii="楷体_GB2312" w:eastAsia="楷体_GB2312" w:hAnsi="楷体_GB2312" w:cs="楷体_GB2312" w:hint="eastAsia"/>
        </w:rPr>
        <w:t>。</w:t>
      </w:r>
    </w:p>
    <w:p w:rsidR="00AD7E73" w:rsidRDefault="00AD7E73" w:rsidP="00AD7E73">
      <w:pPr>
        <w:ind w:firstLineChars="200" w:firstLine="632"/>
      </w:pPr>
      <w:bookmarkStart w:id="69" w:name="_Toc468951569"/>
      <w:r>
        <w:rPr>
          <w:rFonts w:hint="eastAsia"/>
        </w:rPr>
        <w:t>1</w:t>
      </w:r>
      <w:r>
        <w:rPr>
          <w:rFonts w:hint="eastAsia"/>
        </w:rPr>
        <w:t>．加强重金属环境监测能力建设</w:t>
      </w:r>
      <w:bookmarkEnd w:id="69"/>
      <w:r>
        <w:rPr>
          <w:rFonts w:hint="eastAsia"/>
        </w:rPr>
        <w:t>。</w:t>
      </w:r>
    </w:p>
    <w:p w:rsidR="00AD7E73" w:rsidRDefault="00AD7E73" w:rsidP="00AD7E73">
      <w:pPr>
        <w:ind w:firstLineChars="200" w:firstLine="632"/>
      </w:pPr>
      <w:r>
        <w:rPr>
          <w:rFonts w:hint="eastAsia"/>
        </w:rPr>
        <w:t>按照省以下环保机构监测监察执法垂直管理制度改革的要求，继续推动环境监测机构标准化建设，强化废气和土壤重金属监测设备的配置和技术队伍建设，完善重金属监测网络建设，</w:t>
      </w:r>
      <w:r>
        <w:rPr>
          <w:rFonts w:hint="eastAsia"/>
        </w:rPr>
        <w:t>2020</w:t>
      </w:r>
      <w:r>
        <w:rPr>
          <w:rFonts w:hint="eastAsia"/>
        </w:rPr>
        <w:t>年底前，完成汕头、韶关、湛江、清远等市重金属空气环境监测点位布设，重金属污染重点防控区县级环境监测站基本实现饮用水源重金属监测指标的全覆盖。优化调整重金属环境质量监测点位，建立区域重金属污染监测网络、农产品产地重金属监测网络、重金属污染健康监测网络，加强对重金属重点防控区的污染源及其周边水、气、土壤、农作物、食品、人体开展重金属跟踪监测。加快推进在受重金属影响的敏感河流、交接断面以及大型工业园区（基地）或危险源下游区域等的河流监测断面水质自动监测站建设，开展特征重金属指标自动监测；在重金属污染防控重点区重点企业周边敏感地区建设空气自动监测站，开展铅、汞等污染</w:t>
      </w:r>
      <w:r>
        <w:rPr>
          <w:rFonts w:hint="eastAsia"/>
        </w:rPr>
        <w:lastRenderedPageBreak/>
        <w:t>物指标自动监测。</w:t>
      </w:r>
    </w:p>
    <w:p w:rsidR="00AD7E73" w:rsidRDefault="00AD7E73" w:rsidP="00AD7E73">
      <w:pPr>
        <w:ind w:firstLineChars="200" w:firstLine="632"/>
      </w:pPr>
      <w:bookmarkStart w:id="70" w:name="_Toc468951570"/>
      <w:r>
        <w:rPr>
          <w:rFonts w:hint="eastAsia"/>
        </w:rPr>
        <w:t>2</w:t>
      </w:r>
      <w:bookmarkStart w:id="71" w:name="_Toc468951571"/>
      <w:bookmarkEnd w:id="70"/>
      <w:r>
        <w:rPr>
          <w:rFonts w:hint="eastAsia"/>
        </w:rPr>
        <w:t>．提升重金属环境监察执法能力</w:t>
      </w:r>
      <w:bookmarkEnd w:id="71"/>
      <w:r>
        <w:rPr>
          <w:rFonts w:hint="eastAsia"/>
        </w:rPr>
        <w:t>。</w:t>
      </w:r>
    </w:p>
    <w:p w:rsidR="00AD7E73" w:rsidRDefault="00AD7E73" w:rsidP="00AD7E73">
      <w:pPr>
        <w:ind w:firstLineChars="200" w:firstLine="632"/>
      </w:pPr>
      <w:r>
        <w:rPr>
          <w:rFonts w:hint="eastAsia"/>
        </w:rPr>
        <w:t>加快推进环境监察机构标准化建设，强化执法装备和人员队伍建设，到</w:t>
      </w:r>
      <w:r>
        <w:rPr>
          <w:rFonts w:hint="eastAsia"/>
        </w:rPr>
        <w:t>2020</w:t>
      </w:r>
      <w:r>
        <w:rPr>
          <w:rFonts w:hint="eastAsia"/>
        </w:rPr>
        <w:t>年，全省各级环境监察执法机构标准化建设全面达标。加快推进重金属排放重点企业在线监控系统建设，强化便携、自动监测等技术监控手段运用，提高企业在线监测水平并与当地环保部门联网，实现对重金属排放企业的实时监控。到</w:t>
      </w:r>
      <w:r>
        <w:rPr>
          <w:rFonts w:hint="eastAsia"/>
        </w:rPr>
        <w:t>2020</w:t>
      </w:r>
      <w:r>
        <w:rPr>
          <w:rFonts w:hint="eastAsia"/>
        </w:rPr>
        <w:t>年，全省重金属重点监控企业重金属排放废水在线监测全覆盖。加大对违法排污、超标排污、涉重危险废物非法转移等违法行为的打击力度，严肃查处非法冶炼、非法回收等非法生产活动。全面贯彻落实新《中华人民共和国环境保护法》，依法实施按日处罚，依法查封、扣押造成环境严重污染的设施、设备。建立完善重金属排放企业监督性监测和检查制度，实施全指标的监督性监测和稳定达标排放管理，加大对重点企业监督性监测的检查力度，落实企业重金属污染防治主体责任，确保企业污染治理设施稳定运行。从</w:t>
      </w:r>
      <w:r>
        <w:rPr>
          <w:rFonts w:hint="eastAsia"/>
        </w:rPr>
        <w:t>2017</w:t>
      </w:r>
      <w:r>
        <w:rPr>
          <w:rFonts w:hint="eastAsia"/>
        </w:rPr>
        <w:t>年开始，重点监控企业年度监督性监测中至少开展</w:t>
      </w:r>
      <w:r>
        <w:rPr>
          <w:rFonts w:hint="eastAsia"/>
        </w:rPr>
        <w:t>1</w:t>
      </w:r>
      <w:r>
        <w:rPr>
          <w:rFonts w:hint="eastAsia"/>
        </w:rPr>
        <w:t>次以上的全指标分析，珠三角电镀区内的重点监控企业从</w:t>
      </w:r>
      <w:r>
        <w:rPr>
          <w:rFonts w:hint="eastAsia"/>
        </w:rPr>
        <w:t>2017</w:t>
      </w:r>
      <w:r>
        <w:rPr>
          <w:rFonts w:hint="eastAsia"/>
        </w:rPr>
        <w:t>年起开始每年至少实行</w:t>
      </w:r>
      <w:r>
        <w:rPr>
          <w:rFonts w:hint="eastAsia"/>
        </w:rPr>
        <w:t>2</w:t>
      </w:r>
      <w:r>
        <w:rPr>
          <w:rFonts w:hint="eastAsia"/>
        </w:rPr>
        <w:t>次全指标分析。</w:t>
      </w:r>
    </w:p>
    <w:p w:rsidR="00AD7E73" w:rsidRDefault="00AD7E73" w:rsidP="00AD7E73">
      <w:pPr>
        <w:ind w:firstLineChars="200" w:firstLine="632"/>
      </w:pPr>
      <w:bookmarkStart w:id="72" w:name="_Toc468951572"/>
      <w:r>
        <w:rPr>
          <w:rFonts w:hint="eastAsia"/>
        </w:rPr>
        <w:t>3</w:t>
      </w:r>
      <w:r>
        <w:rPr>
          <w:rFonts w:hint="eastAsia"/>
        </w:rPr>
        <w:t>．强化环境应急能力建设</w:t>
      </w:r>
      <w:bookmarkEnd w:id="72"/>
      <w:r>
        <w:rPr>
          <w:rFonts w:hint="eastAsia"/>
        </w:rPr>
        <w:t>。</w:t>
      </w:r>
    </w:p>
    <w:p w:rsidR="00AD7E73" w:rsidRDefault="00AD7E73" w:rsidP="00AD7E73">
      <w:pPr>
        <w:ind w:firstLineChars="200" w:firstLine="632"/>
        <w:rPr>
          <w:rFonts w:hint="eastAsia"/>
        </w:rPr>
      </w:pPr>
      <w:r>
        <w:rPr>
          <w:rFonts w:hint="eastAsia"/>
        </w:rPr>
        <w:t>加快开展集中式饮用水源地上游或集雨区范围内重有色金属采选、冶炼等涉重金属行业环境风险隐患排查，并组织开展饮用水水源地风险评估及应急预案编制工作；强化东江、西江、北江、</w:t>
      </w:r>
      <w:r>
        <w:rPr>
          <w:rFonts w:hint="eastAsia"/>
        </w:rPr>
        <w:lastRenderedPageBreak/>
        <w:t>九洲江、韩江等跨省界水体风险防范与环境应急管理，妥善处置跨界环境污染纠纷和环境突发事件；依托韶关钢铁有限公司、韶关冶炼厂、大宝山矿业有限公司等大型企业建立突发环境事件应急救援队伍和环境应急物资储备库，深化环境应急政企合作。推进韶关、汕头等市重金属重点防控地区大气重金属污染监控预警体系建设。加快推进东江、西江、韩江、九州江、鹤地水库、高州水库等主要大江大河与大型湖库预警体系建设，全面提高重金属水污染预警能力。</w:t>
      </w:r>
    </w:p>
    <w:p w:rsidR="00AD7E73" w:rsidRDefault="00AD7E73" w:rsidP="00AD7E73">
      <w:pPr>
        <w:ind w:firstLineChars="200" w:firstLine="632"/>
        <w:rPr>
          <w:rFonts w:ascii="楷体_GB2312" w:eastAsia="楷体_GB2312" w:hAnsi="楷体_GB2312" w:cs="楷体_GB2312" w:hint="eastAsia"/>
        </w:rPr>
      </w:pPr>
      <w:bookmarkStart w:id="73" w:name="_Toc468951573"/>
      <w:bookmarkStart w:id="74" w:name="_Toc4456"/>
      <w:bookmarkStart w:id="75" w:name="_Toc30343"/>
      <w:r>
        <w:rPr>
          <w:rFonts w:ascii="楷体_GB2312" w:eastAsia="楷体_GB2312" w:hAnsi="楷体_GB2312" w:cs="楷体_GB2312" w:hint="eastAsia"/>
        </w:rPr>
        <w:t>（六）完善法规政策，健全长效机制</w:t>
      </w:r>
      <w:bookmarkEnd w:id="73"/>
      <w:bookmarkEnd w:id="74"/>
      <w:bookmarkEnd w:id="75"/>
      <w:r>
        <w:rPr>
          <w:rFonts w:ascii="楷体_GB2312" w:eastAsia="楷体_GB2312" w:hAnsi="楷体_GB2312" w:cs="楷体_GB2312" w:hint="eastAsia"/>
        </w:rPr>
        <w:t>。</w:t>
      </w:r>
    </w:p>
    <w:p w:rsidR="00AD7E73" w:rsidRDefault="00AD7E73" w:rsidP="00AD7E73">
      <w:pPr>
        <w:ind w:firstLineChars="200" w:firstLine="632"/>
      </w:pPr>
      <w:bookmarkStart w:id="76" w:name="_Toc468951574"/>
      <w:r>
        <w:rPr>
          <w:rFonts w:hint="eastAsia"/>
        </w:rPr>
        <w:t>1</w:t>
      </w:r>
      <w:r>
        <w:rPr>
          <w:rFonts w:hint="eastAsia"/>
        </w:rPr>
        <w:t>．健全重金属污染防治法规标准</w:t>
      </w:r>
      <w:bookmarkEnd w:id="76"/>
      <w:r>
        <w:rPr>
          <w:rFonts w:hint="eastAsia"/>
        </w:rPr>
        <w:t>。</w:t>
      </w:r>
    </w:p>
    <w:p w:rsidR="00AD7E73" w:rsidRDefault="00AD7E73" w:rsidP="00AD7E73">
      <w:pPr>
        <w:ind w:firstLineChars="200" w:firstLine="632"/>
        <w:rPr>
          <w:rFonts w:hint="eastAsia"/>
          <w:highlight w:val="yellow"/>
        </w:rPr>
      </w:pPr>
      <w:r>
        <w:rPr>
          <w:rFonts w:hint="eastAsia"/>
        </w:rPr>
        <w:t>加快推动出台《广东省土壤污染防治条例》，修订《广东省固体废物污染防治条例》，研究制定全省重点区域重金属特征污染物排放限值，研究制定《广东省典型重金属污染耕地分级风险管控技术指南》《广东省重金属污染耕地治理技术指南》《广东省矿山生态恢复技术规程》等技术规范，加强土壤重金属污染对人体健康风险及防治对策研究，完善广东省重金属污染防治技术标准体系。</w:t>
      </w:r>
      <w:bookmarkStart w:id="77" w:name="_Toc468951575"/>
    </w:p>
    <w:p w:rsidR="00AD7E73" w:rsidRDefault="00AD7E73" w:rsidP="00AD7E73">
      <w:pPr>
        <w:ind w:firstLineChars="200" w:firstLine="632"/>
      </w:pPr>
      <w:r>
        <w:rPr>
          <w:rFonts w:hint="eastAsia"/>
        </w:rPr>
        <w:t>2</w:t>
      </w:r>
      <w:r>
        <w:rPr>
          <w:rFonts w:hint="eastAsia"/>
        </w:rPr>
        <w:t>．完善排污许可制</w:t>
      </w:r>
      <w:bookmarkEnd w:id="77"/>
      <w:r>
        <w:rPr>
          <w:rFonts w:hint="eastAsia"/>
        </w:rPr>
        <w:t>度。</w:t>
      </w:r>
    </w:p>
    <w:p w:rsidR="00AD7E73" w:rsidRDefault="00AD7E73" w:rsidP="00AD7E73">
      <w:pPr>
        <w:ind w:firstLineChars="200" w:firstLine="632"/>
      </w:pPr>
      <w:r>
        <w:rPr>
          <w:rFonts w:hint="eastAsia"/>
        </w:rPr>
        <w:t>开展重点行业重金属产业排放企业全面调查，对未纳入环境统计范围、前期环境影响评价文件不齐全的企业进行全面梳理和排查，建立涉重企业全口径管理清单。将重金属稳定达标排放、清洁生产、无组织排放管理、危险废物规范化管理等纳入排污许</w:t>
      </w:r>
      <w:r>
        <w:rPr>
          <w:rFonts w:hint="eastAsia"/>
        </w:rPr>
        <w:lastRenderedPageBreak/>
        <w:t>可制度统筹监管，逐步对污染源实施“一企一证”综合式管理。</w:t>
      </w:r>
    </w:p>
    <w:p w:rsidR="00AD7E73" w:rsidRDefault="00AD7E73" w:rsidP="00AD7E73">
      <w:pPr>
        <w:ind w:firstLineChars="200" w:firstLine="632"/>
      </w:pPr>
      <w:bookmarkStart w:id="78" w:name="_Toc468951576"/>
      <w:r>
        <w:rPr>
          <w:rFonts w:hint="eastAsia"/>
        </w:rPr>
        <w:t>3</w:t>
      </w:r>
      <w:r>
        <w:rPr>
          <w:rFonts w:hint="eastAsia"/>
        </w:rPr>
        <w:t>．健全环境监管联动机制</w:t>
      </w:r>
      <w:bookmarkEnd w:id="78"/>
      <w:r>
        <w:rPr>
          <w:rFonts w:hint="eastAsia"/>
        </w:rPr>
        <w:t>。</w:t>
      </w:r>
    </w:p>
    <w:p w:rsidR="00AD7E73" w:rsidRDefault="00AD7E73" w:rsidP="00AD7E73">
      <w:pPr>
        <w:ind w:firstLineChars="200" w:firstLine="632"/>
      </w:pPr>
      <w:r>
        <w:rPr>
          <w:rFonts w:hint="eastAsia"/>
        </w:rPr>
        <w:t>按照《环境保护行政执法与刑事司法衔接工作办法》的要求，各级环保部门要加强与公安机关、检察机关的协作，统一法律适用，不断完善线索通报、案件移送、资源共享和信息发布等工作机制，依法惩治环境犯罪行为。加强多部门联合监管，严格常态化执法和强制性标准实施，综合运用工艺技术、能耗、环保、质量、安全标准，依法依规严格监管，加快推动落后和过剩产能退出。加强上下级环保部门的联动，各级环保部门的环境监察执法、监测、污染控制、总量减排、行政许可、法制等部门要加强联动，实现信息共享，形成执法合力。</w:t>
      </w:r>
    </w:p>
    <w:p w:rsidR="00AD7E73" w:rsidRDefault="00AD7E73" w:rsidP="00AD7E73">
      <w:pPr>
        <w:ind w:firstLineChars="200" w:firstLine="632"/>
      </w:pPr>
      <w:bookmarkStart w:id="79" w:name="_Toc468951577"/>
      <w:r>
        <w:rPr>
          <w:rFonts w:hint="eastAsia"/>
        </w:rPr>
        <w:t>4</w:t>
      </w:r>
      <w:r>
        <w:rPr>
          <w:rFonts w:hint="eastAsia"/>
        </w:rPr>
        <w:t>．完善环境污染损害赔偿与责任追究</w:t>
      </w:r>
      <w:bookmarkEnd w:id="79"/>
      <w:r>
        <w:rPr>
          <w:rFonts w:hint="eastAsia"/>
        </w:rPr>
        <w:t>。</w:t>
      </w:r>
    </w:p>
    <w:p w:rsidR="00AD7E73" w:rsidRDefault="00AD7E73" w:rsidP="00AD7E73">
      <w:pPr>
        <w:ind w:firstLineChars="200" w:firstLine="632"/>
        <w:rPr>
          <w:rFonts w:hint="eastAsia"/>
        </w:rPr>
      </w:pPr>
      <w:r>
        <w:rPr>
          <w:rFonts w:hint="eastAsia"/>
        </w:rPr>
        <w:t>认真贯彻落实《关于开展环境污染强制责任保险试点工作的指导意见》，加快推动在重金属重点行业建立环境污染强制责任保险制度。研究制定典型重金属污染造成人群健康和生态损害鉴定评估技术方案，开展重金属污染的环境损害评估试点。建立健全环境损害责任追究制度，对环境损害行为依法追责赔偿。</w:t>
      </w:r>
    </w:p>
    <w:p w:rsidR="00AD7E73" w:rsidRDefault="00AD7E73" w:rsidP="00AD7E73">
      <w:pPr>
        <w:ind w:firstLineChars="200" w:firstLine="632"/>
      </w:pPr>
      <w:bookmarkStart w:id="80" w:name="_Toc468951578"/>
      <w:r>
        <w:rPr>
          <w:rFonts w:hint="eastAsia"/>
        </w:rPr>
        <w:t>5</w:t>
      </w:r>
      <w:r>
        <w:rPr>
          <w:rFonts w:hint="eastAsia"/>
        </w:rPr>
        <w:t>．强化环保科技创新体系</w:t>
      </w:r>
      <w:bookmarkEnd w:id="80"/>
      <w:r>
        <w:rPr>
          <w:rFonts w:hint="eastAsia"/>
        </w:rPr>
        <w:t>。</w:t>
      </w:r>
    </w:p>
    <w:p w:rsidR="00AD7E73" w:rsidRDefault="00AD7E73" w:rsidP="00AD7E73">
      <w:pPr>
        <w:ind w:firstLineChars="200" w:firstLine="632"/>
      </w:pPr>
      <w:r>
        <w:rPr>
          <w:rFonts w:hint="eastAsia"/>
        </w:rPr>
        <w:t>引入政府和社会资本合作（</w:t>
      </w:r>
      <w:r>
        <w:rPr>
          <w:rFonts w:hint="eastAsia"/>
        </w:rPr>
        <w:t>PPP</w:t>
      </w:r>
      <w:r>
        <w:rPr>
          <w:rFonts w:hint="eastAsia"/>
        </w:rPr>
        <w:t>）模式，大力鼓励社会资本投资重金属污染防治领域，推进重金属污染治理和生态修复等领域关键技术攻关。以信息发布、技术示范为重点内容，逐步搭建重金属污染防治技术推广平台，大力发展重金属污染防治技术产品</w:t>
      </w:r>
      <w:r>
        <w:rPr>
          <w:rFonts w:hint="eastAsia"/>
        </w:rPr>
        <w:lastRenderedPageBreak/>
        <w:t>设计、市场预测、产品分析、项目可行性研究等重金属环境污染防治服务业。</w:t>
      </w:r>
    </w:p>
    <w:p w:rsidR="00AD7E73" w:rsidRDefault="00AD7E73" w:rsidP="00AD7E73">
      <w:pPr>
        <w:ind w:firstLineChars="200" w:firstLine="632"/>
      </w:pPr>
      <w:bookmarkStart w:id="81" w:name="_Toc468951579"/>
      <w:r>
        <w:rPr>
          <w:rFonts w:hint="eastAsia"/>
        </w:rPr>
        <w:t>6</w:t>
      </w:r>
      <w:r>
        <w:rPr>
          <w:rFonts w:hint="eastAsia"/>
        </w:rPr>
        <w:t>．强化公众参与和监督</w:t>
      </w:r>
      <w:bookmarkEnd w:id="81"/>
      <w:r>
        <w:rPr>
          <w:rFonts w:hint="eastAsia"/>
        </w:rPr>
        <w:t>。</w:t>
      </w:r>
    </w:p>
    <w:p w:rsidR="00AD7E73" w:rsidRDefault="00AD7E73" w:rsidP="00AD7E73">
      <w:pPr>
        <w:ind w:firstLineChars="200" w:firstLine="632"/>
      </w:pPr>
      <w:r>
        <w:rPr>
          <w:rFonts w:hint="eastAsia"/>
        </w:rPr>
        <w:t>涉重企业要建立环境管理台账，开展自行监测，如实申报，属于重点排污单位的还要依法履行信息公开义务。鼓励社会公众对涉重企业污染物排放和生产情况进行监督，建设环保微信举报平台，进一步畅通群众投诉举报渠道，方便公众对污染现象“随时报”。引导公民通过环境信访、行政调解、寻求司法救济等方式理性维护自己合法权益。积极引导环保社会组织健康有序发展，参与环境保护监督，推进环境公益组织依法开展环境公益诉讼。</w:t>
      </w:r>
    </w:p>
    <w:p w:rsidR="00AD7E73" w:rsidRDefault="00AD7E73" w:rsidP="00AD7E73">
      <w:pPr>
        <w:ind w:firstLineChars="200" w:firstLine="632"/>
        <w:rPr>
          <w:rFonts w:ascii="黑体" w:eastAsia="黑体" w:hAnsi="黑体" w:cs="黑体" w:hint="eastAsia"/>
        </w:rPr>
      </w:pPr>
      <w:bookmarkStart w:id="82" w:name="_Toc468951580"/>
      <w:bookmarkStart w:id="83" w:name="_Toc24128"/>
      <w:bookmarkStart w:id="84" w:name="_Toc15537"/>
      <w:r>
        <w:rPr>
          <w:rFonts w:ascii="黑体" w:eastAsia="黑体" w:hAnsi="黑体" w:cs="黑体" w:hint="eastAsia"/>
        </w:rPr>
        <w:t>四、重点工程</w:t>
      </w:r>
      <w:bookmarkEnd w:id="82"/>
      <w:bookmarkEnd w:id="83"/>
      <w:bookmarkEnd w:id="84"/>
    </w:p>
    <w:p w:rsidR="00AD7E73" w:rsidRDefault="00AD7E73" w:rsidP="00AD7E73">
      <w:pPr>
        <w:ind w:firstLineChars="200" w:firstLine="632"/>
      </w:pPr>
      <w:r>
        <w:rPr>
          <w:rFonts w:hint="eastAsia"/>
        </w:rPr>
        <w:t>针对广东省重金属污染防治需要解决的突出问题，重点实施污染源综合治理项目、产业结构转型升级项目、民生（应急）保障项目、解决历史遗留污染问题项目、重金属环境监管能力建设工程等五大类重点工程。</w:t>
      </w:r>
    </w:p>
    <w:p w:rsidR="00AD7E73" w:rsidRDefault="00AD7E73" w:rsidP="00AD7E73">
      <w:pPr>
        <w:numPr>
          <w:ilvl w:val="0"/>
          <w:numId w:val="1"/>
        </w:numPr>
        <w:ind w:firstLineChars="200" w:firstLine="632"/>
        <w:rPr>
          <w:rFonts w:ascii="楷体_GB2312" w:eastAsia="楷体_GB2312" w:hAnsi="楷体_GB2312" w:cs="楷体_GB2312" w:hint="eastAsia"/>
        </w:rPr>
      </w:pPr>
      <w:r>
        <w:rPr>
          <w:rFonts w:ascii="楷体_GB2312" w:eastAsia="楷体_GB2312" w:hAnsi="楷体_GB2312" w:cs="楷体_GB2312" w:hint="eastAsia"/>
        </w:rPr>
        <w:t>污染源综合治理项目。</w:t>
      </w:r>
      <w:r>
        <w:rPr>
          <w:rFonts w:hint="eastAsia"/>
        </w:rPr>
        <w:t>主要包括减少重金属排放、防止污染事故发生、实现稳定达标排放的项目，包括治污设施升级改造、环境风险防控设施建设、企业清洁生产改造、涉重工业园区（基地）升级改造等内容。</w:t>
      </w:r>
    </w:p>
    <w:p w:rsidR="00AD7E73" w:rsidRDefault="00AD7E73" w:rsidP="00AD7E73">
      <w:pPr>
        <w:ind w:firstLineChars="200" w:firstLine="632"/>
      </w:pPr>
      <w:r>
        <w:rPr>
          <w:rFonts w:ascii="楷体_GB2312" w:eastAsia="楷体_GB2312" w:hAnsi="楷体_GB2312" w:cs="楷体_GB2312" w:hint="eastAsia"/>
        </w:rPr>
        <w:t>（二）产业结构转型升级项目。</w:t>
      </w:r>
      <w:r>
        <w:rPr>
          <w:rFonts w:hint="eastAsia"/>
        </w:rPr>
        <w:t>主要包括列入产业结构调整指导目录、产业振兴调整规划、区域产业政策中的淘汰类别的生产工艺和生产能力，以及符合产业政策但经过限期治理难以稳定</w:t>
      </w:r>
      <w:r>
        <w:rPr>
          <w:rFonts w:hint="eastAsia"/>
        </w:rPr>
        <w:lastRenderedPageBreak/>
        <w:t>达标的设施。</w:t>
      </w:r>
    </w:p>
    <w:p w:rsidR="00AD7E73" w:rsidRDefault="00AD7E73" w:rsidP="00AD7E73">
      <w:pPr>
        <w:ind w:firstLineChars="200" w:firstLine="632"/>
      </w:pPr>
      <w:r>
        <w:rPr>
          <w:rFonts w:ascii="楷体_GB2312" w:eastAsia="楷体_GB2312" w:hAnsi="楷体_GB2312" w:cs="楷体_GB2312" w:hint="eastAsia"/>
        </w:rPr>
        <w:t>（三）民生（应急）保障项目。</w:t>
      </w:r>
      <w:r>
        <w:rPr>
          <w:rFonts w:hint="eastAsia"/>
        </w:rPr>
        <w:t>主要包括对饮用水源形成严重威胁的尾矿库加固项目、应急饮水工程建设项目等。以乐昌武江河水源置换工程为主要工程，重点考虑韶关与河源尾矿库加固、防渗及生态修复工程。</w:t>
      </w:r>
    </w:p>
    <w:p w:rsidR="00AD7E73" w:rsidRDefault="00AD7E73" w:rsidP="00AD7E73">
      <w:pPr>
        <w:ind w:firstLineChars="200" w:firstLine="632"/>
      </w:pPr>
      <w:r>
        <w:rPr>
          <w:rFonts w:ascii="楷体_GB2312" w:eastAsia="楷体_GB2312" w:hAnsi="楷体_GB2312" w:cs="楷体_GB2312" w:hint="eastAsia"/>
        </w:rPr>
        <w:t>（四）解决历史遗留污染问题项目。</w:t>
      </w:r>
      <w:r>
        <w:rPr>
          <w:rFonts w:hint="eastAsia"/>
        </w:rPr>
        <w:t>主要是为解决严重危害群众健康和生态环境且责任主体灭失的突出重金属历史遗留污染问题而开展的区域性治理试点工程。包括污染隐患严重的尾矿库、废弃物堆存场地、废渣、受重金属污染农田、矿区生态环境修复等工程项目。以韶关大宝山矿区及周边地区、清远龙塘镇、汕头贵屿镇、莲花山钨矿周边、兴宁市宁塘历史废弃矿山和紫金县矿区等一批历史遗留污染源为环境综合整治着力点。</w:t>
      </w:r>
    </w:p>
    <w:p w:rsidR="00AD7E73" w:rsidRDefault="00AD7E73" w:rsidP="00AD7E73">
      <w:pPr>
        <w:ind w:firstLineChars="200" w:firstLine="632"/>
      </w:pPr>
      <w:r>
        <w:rPr>
          <w:rFonts w:ascii="楷体_GB2312" w:eastAsia="楷体_GB2312" w:hAnsi="楷体_GB2312" w:cs="楷体_GB2312" w:hint="eastAsia"/>
        </w:rPr>
        <w:t>（五）重金属环境监管能力建设工程。</w:t>
      </w:r>
      <w:r>
        <w:rPr>
          <w:rFonts w:hint="eastAsia"/>
        </w:rPr>
        <w:t>根据重金属污染防控需求，实施包括重金属污染环境监测能力、环境预警监测能力、执法监督能力及健康诊疗能力建设等工程。</w:t>
      </w:r>
    </w:p>
    <w:p w:rsidR="00AD7E73" w:rsidRDefault="00AD7E73" w:rsidP="00AD7E73">
      <w:pPr>
        <w:ind w:firstLineChars="200" w:firstLine="632"/>
        <w:rPr>
          <w:rFonts w:ascii="黑体" w:eastAsia="黑体" w:hAnsi="黑体" w:cs="黑体" w:hint="eastAsia"/>
        </w:rPr>
      </w:pPr>
      <w:bookmarkStart w:id="85" w:name="_Toc468951581"/>
      <w:bookmarkStart w:id="86" w:name="_Toc28783"/>
      <w:bookmarkStart w:id="87" w:name="_Toc24192"/>
      <w:r>
        <w:rPr>
          <w:rFonts w:ascii="黑体" w:eastAsia="黑体" w:hAnsi="黑体" w:cs="黑体" w:hint="eastAsia"/>
        </w:rPr>
        <w:t>五、实施保障</w:t>
      </w:r>
      <w:bookmarkEnd w:id="85"/>
      <w:bookmarkEnd w:id="86"/>
      <w:bookmarkEnd w:id="87"/>
    </w:p>
    <w:p w:rsidR="00AD7E73" w:rsidRDefault="00AD7E73" w:rsidP="00AD7E73">
      <w:pPr>
        <w:ind w:firstLineChars="200" w:firstLine="632"/>
        <w:rPr>
          <w:rFonts w:ascii="楷体_GB2312" w:eastAsia="楷体_GB2312" w:hAnsi="楷体_GB2312" w:cs="楷体_GB2312" w:hint="eastAsia"/>
        </w:rPr>
      </w:pPr>
      <w:bookmarkStart w:id="88" w:name="_Toc468951582"/>
      <w:bookmarkStart w:id="89" w:name="_Toc27568"/>
      <w:bookmarkStart w:id="90" w:name="_Toc11487"/>
      <w:r>
        <w:rPr>
          <w:rFonts w:ascii="楷体_GB2312" w:eastAsia="楷体_GB2312" w:hAnsi="楷体_GB2312" w:cs="楷体_GB2312" w:hint="eastAsia"/>
        </w:rPr>
        <w:t>（一）加强组织领导，严格落实责任</w:t>
      </w:r>
      <w:bookmarkEnd w:id="88"/>
      <w:bookmarkEnd w:id="89"/>
      <w:bookmarkEnd w:id="90"/>
      <w:r>
        <w:rPr>
          <w:rFonts w:ascii="楷体_GB2312" w:eastAsia="楷体_GB2312" w:hAnsi="楷体_GB2312" w:cs="楷体_GB2312" w:hint="eastAsia"/>
        </w:rPr>
        <w:t>。</w:t>
      </w:r>
    </w:p>
    <w:p w:rsidR="00AD7E73" w:rsidRDefault="00AD7E73" w:rsidP="00AD7E73">
      <w:pPr>
        <w:ind w:firstLineChars="200" w:firstLine="632"/>
      </w:pPr>
      <w:r>
        <w:rPr>
          <w:rFonts w:hint="eastAsia"/>
        </w:rPr>
        <w:t>各地级以上市人民政府要进一步加强对重金属污染综合防治各项工作的组织领导，充分发挥重金属污染防治工作联席会议作用，统筹协调重金属污染防治工作；要充分调动市、县（市、区）、镇（街）的积极性，发挥各职能部门力量，多方协作、形成合力；要按照目标责任制要求，建立完善责任落实和考核问责制度。县</w:t>
      </w:r>
      <w:r>
        <w:rPr>
          <w:rFonts w:hint="eastAsia"/>
        </w:rPr>
        <w:lastRenderedPageBreak/>
        <w:t>及以上人民政府是规划实施的责任主体，要切实履行属地管理职责，将重金属污染防治工作纳入重要议事日程，纳入当地经济社会发展规划；对本规划确定的目标、重点任务、工程项目等，逐一分解落实。</w:t>
      </w:r>
    </w:p>
    <w:p w:rsidR="00AD7E73" w:rsidRDefault="00AD7E73" w:rsidP="00AD7E73">
      <w:pPr>
        <w:ind w:firstLineChars="200" w:firstLine="632"/>
        <w:rPr>
          <w:rFonts w:ascii="楷体_GB2312" w:eastAsia="楷体_GB2312" w:hAnsi="楷体_GB2312" w:cs="楷体_GB2312" w:hint="eastAsia"/>
        </w:rPr>
      </w:pPr>
      <w:bookmarkStart w:id="91" w:name="_Toc468951583"/>
      <w:bookmarkStart w:id="92" w:name="_Toc20660"/>
      <w:bookmarkStart w:id="93" w:name="_Toc13394"/>
      <w:r>
        <w:rPr>
          <w:rFonts w:ascii="楷体_GB2312" w:eastAsia="楷体_GB2312" w:hAnsi="楷体_GB2312" w:cs="楷体_GB2312" w:hint="eastAsia"/>
        </w:rPr>
        <w:t>（二）做好资金保障，确保工作成效</w:t>
      </w:r>
      <w:bookmarkEnd w:id="91"/>
      <w:bookmarkEnd w:id="92"/>
      <w:bookmarkEnd w:id="93"/>
      <w:r>
        <w:rPr>
          <w:rFonts w:ascii="楷体_GB2312" w:eastAsia="楷体_GB2312" w:hAnsi="楷体_GB2312" w:cs="楷体_GB2312" w:hint="eastAsia"/>
        </w:rPr>
        <w:t>。</w:t>
      </w:r>
    </w:p>
    <w:p w:rsidR="00AD7E73" w:rsidRDefault="00AD7E73" w:rsidP="00AD7E73">
      <w:pPr>
        <w:ind w:firstLineChars="200" w:firstLine="632"/>
      </w:pPr>
      <w:r>
        <w:rPr>
          <w:rFonts w:hint="eastAsia"/>
        </w:rPr>
        <w:t>各级政府要做好重金属污染防治工作的资金保障，按照“谁污染、谁治理，谁投入、谁受益”的原则，统筹财税、价格等政策，积极制定促进企业清洁生产、污染减排的“以奖促治”政策措施，做好落后产能淘汰、污染源综合治理、重金属污染历史遗留问题解决、重金属污染环境监控能力建设等领域项目实施保障，全面推动重金属污染综合防治工作，确保工作取得成效。要完善投入机制，拓宽资金渠道，充分利用中央及省级环保类财政资金，鼓励采用政府和社会资本合作（</w:t>
      </w:r>
      <w:r>
        <w:rPr>
          <w:rFonts w:hint="eastAsia"/>
        </w:rPr>
        <w:t>PPP</w:t>
      </w:r>
      <w:r>
        <w:rPr>
          <w:rFonts w:hint="eastAsia"/>
        </w:rPr>
        <w:t>）模式治污，引导和鼓励社会资本参与重金属污染综合防治工作。</w:t>
      </w:r>
    </w:p>
    <w:p w:rsidR="00AD7E73" w:rsidRDefault="00AD7E73" w:rsidP="00AD7E73">
      <w:pPr>
        <w:ind w:firstLineChars="200" w:firstLine="632"/>
        <w:rPr>
          <w:rFonts w:ascii="楷体_GB2312" w:eastAsia="楷体_GB2312" w:hAnsi="楷体_GB2312" w:cs="楷体_GB2312" w:hint="eastAsia"/>
        </w:rPr>
      </w:pPr>
      <w:bookmarkStart w:id="94" w:name="_Toc468951584"/>
      <w:bookmarkStart w:id="95" w:name="_Toc6336"/>
      <w:bookmarkStart w:id="96" w:name="_Toc23673"/>
      <w:r>
        <w:rPr>
          <w:rFonts w:ascii="楷体_GB2312" w:eastAsia="楷体_GB2312" w:hAnsi="楷体_GB2312" w:cs="楷体_GB2312" w:hint="eastAsia"/>
        </w:rPr>
        <w:t>（三）开展有效评估，落实跟踪管理</w:t>
      </w:r>
      <w:bookmarkEnd w:id="94"/>
      <w:bookmarkEnd w:id="95"/>
      <w:bookmarkEnd w:id="96"/>
      <w:r>
        <w:rPr>
          <w:rFonts w:ascii="楷体_GB2312" w:eastAsia="楷体_GB2312" w:hAnsi="楷体_GB2312" w:cs="楷体_GB2312" w:hint="eastAsia"/>
        </w:rPr>
        <w:t>。</w:t>
      </w:r>
    </w:p>
    <w:p w:rsidR="00AD7E73" w:rsidRDefault="00AD7E73" w:rsidP="00AD7E73">
      <w:pPr>
        <w:ind w:firstLineChars="200" w:firstLine="632"/>
      </w:pPr>
      <w:r>
        <w:rPr>
          <w:rFonts w:hint="eastAsia"/>
        </w:rPr>
        <w:t>建立本规划实施的评估制度。</w:t>
      </w:r>
      <w:r>
        <w:rPr>
          <w:rFonts w:hint="eastAsia"/>
        </w:rPr>
        <w:t>2018</w:t>
      </w:r>
      <w:r>
        <w:rPr>
          <w:rFonts w:hint="eastAsia"/>
        </w:rPr>
        <w:t>年组织对规划执行情况进行中期评估，总结规划实施经验成效及困难，对规划实施进展滞后地区及时进行预警，并根据评估结果及需要，适当调整方案目标及任务。</w:t>
      </w:r>
      <w:r>
        <w:rPr>
          <w:rFonts w:hint="eastAsia"/>
        </w:rPr>
        <w:t>2020</w:t>
      </w:r>
      <w:r>
        <w:rPr>
          <w:rFonts w:hint="eastAsia"/>
        </w:rPr>
        <w:t>年对规划执行情况进行终期评估，评估结果向社会公开。</w:t>
      </w:r>
    </w:p>
    <w:p w:rsidR="00AD7E73" w:rsidRDefault="00AD7E73" w:rsidP="00AD7E73">
      <w:pPr>
        <w:ind w:firstLineChars="200" w:firstLine="632"/>
        <w:rPr>
          <w:rFonts w:ascii="楷体_GB2312" w:eastAsia="楷体_GB2312" w:hAnsi="楷体_GB2312" w:cs="楷体_GB2312" w:hint="eastAsia"/>
        </w:rPr>
      </w:pPr>
      <w:bookmarkStart w:id="97" w:name="_Toc468951585"/>
      <w:bookmarkStart w:id="98" w:name="_Toc10499"/>
      <w:bookmarkStart w:id="99" w:name="_Toc9713"/>
      <w:r>
        <w:rPr>
          <w:rFonts w:ascii="楷体_GB2312" w:eastAsia="楷体_GB2312" w:hAnsi="楷体_GB2312" w:cs="楷体_GB2312" w:hint="eastAsia"/>
        </w:rPr>
        <w:t>（四）加强宣传引导，推进绿色消费</w:t>
      </w:r>
      <w:bookmarkEnd w:id="97"/>
      <w:bookmarkEnd w:id="98"/>
      <w:bookmarkEnd w:id="99"/>
      <w:r>
        <w:rPr>
          <w:rFonts w:ascii="楷体_GB2312" w:eastAsia="楷体_GB2312" w:hAnsi="楷体_GB2312" w:cs="楷体_GB2312" w:hint="eastAsia"/>
        </w:rPr>
        <w:t>。</w:t>
      </w:r>
    </w:p>
    <w:p w:rsidR="00AD7E73" w:rsidRDefault="00AD7E73" w:rsidP="00AD7E73">
      <w:pPr>
        <w:ind w:firstLineChars="200" w:firstLine="632"/>
      </w:pPr>
      <w:r>
        <w:rPr>
          <w:rFonts w:hint="eastAsia"/>
        </w:rPr>
        <w:t>加强重金属污染防治与环境质量的宣传与科普工作，增强人</w:t>
      </w:r>
      <w:r>
        <w:rPr>
          <w:rFonts w:hint="eastAsia"/>
        </w:rPr>
        <w:lastRenderedPageBreak/>
        <w:t>民群众对重金属污染的严重性和危害性的认识。加强绿色消费宣传教育，针对水银体温计和血压计替代品、无汞电光源、无汞电池等开展绿色消费宣传，推行绿色消费理念和模式，通过广泛宣传教育，促进社会绿色消费理念的形成，减少含重金属消费品废物的产生。</w:t>
      </w:r>
    </w:p>
    <w:p w:rsidR="00AD7E73" w:rsidRDefault="00AD7E73" w:rsidP="00AD7E73">
      <w:pPr>
        <w:ind w:firstLineChars="200" w:firstLine="632"/>
      </w:pPr>
    </w:p>
    <w:p w:rsidR="00AD7E73" w:rsidRDefault="00AD7E73" w:rsidP="00AD7E73">
      <w:pPr>
        <w:ind w:firstLineChars="200" w:firstLine="632"/>
        <w:rPr>
          <w:rFonts w:hint="eastAsia"/>
        </w:rPr>
      </w:pPr>
      <w:r>
        <w:rPr>
          <w:rFonts w:hint="eastAsia"/>
        </w:rPr>
        <w:t>附表：</w:t>
      </w:r>
      <w:r>
        <w:rPr>
          <w:rFonts w:hint="eastAsia"/>
        </w:rPr>
        <w:t>1</w:t>
      </w:r>
      <w:r>
        <w:rPr>
          <w:rFonts w:hint="eastAsia"/>
        </w:rPr>
        <w:t>．重点区域范围和防控的重点重金属</w:t>
      </w:r>
    </w:p>
    <w:p w:rsidR="00AD7E73" w:rsidRDefault="00AD7E73" w:rsidP="00AD7E73">
      <w:pPr>
        <w:ind w:leftChars="200" w:left="632"/>
        <w:rPr>
          <w:rFonts w:hint="eastAsia"/>
        </w:rPr>
      </w:pPr>
      <w:r>
        <w:rPr>
          <w:rFonts w:hint="eastAsia"/>
        </w:rPr>
        <w:t xml:space="preserve">      2</w:t>
      </w:r>
      <w:r>
        <w:rPr>
          <w:rFonts w:hint="eastAsia"/>
        </w:rPr>
        <w:t>．污染源综合治理项目工程汇总表</w:t>
      </w:r>
    </w:p>
    <w:p w:rsidR="00AD7E73" w:rsidRDefault="00AD7E73" w:rsidP="00AD7E73">
      <w:pPr>
        <w:ind w:leftChars="200" w:left="632"/>
        <w:rPr>
          <w:rFonts w:hint="eastAsia"/>
        </w:rPr>
      </w:pPr>
      <w:r>
        <w:rPr>
          <w:rFonts w:hint="eastAsia"/>
        </w:rPr>
        <w:t xml:space="preserve">      3</w:t>
      </w:r>
      <w:r>
        <w:rPr>
          <w:rFonts w:hint="eastAsia"/>
        </w:rPr>
        <w:t>．民生（应急）保障项目工程表</w:t>
      </w:r>
    </w:p>
    <w:p w:rsidR="00AD7E73" w:rsidRDefault="00AD7E73" w:rsidP="00AD7E73">
      <w:pPr>
        <w:rPr>
          <w:rFonts w:hint="eastAsia"/>
        </w:rPr>
      </w:pPr>
      <w:r>
        <w:rPr>
          <w:rFonts w:hint="eastAsia"/>
        </w:rPr>
        <w:t xml:space="preserve">          4</w:t>
      </w:r>
      <w:r>
        <w:rPr>
          <w:rFonts w:hint="eastAsia"/>
        </w:rPr>
        <w:t>．解决历史遗留污染问题项目工程表</w:t>
      </w:r>
    </w:p>
    <w:p w:rsidR="00AD7E73" w:rsidRDefault="00AD7E73" w:rsidP="00AD7E73">
      <w:pPr>
        <w:rPr>
          <w:rFonts w:hint="eastAsia"/>
        </w:rPr>
      </w:pPr>
      <w:r>
        <w:rPr>
          <w:rFonts w:hint="eastAsia"/>
        </w:rPr>
        <w:t xml:space="preserve">          5</w:t>
      </w:r>
      <w:r>
        <w:rPr>
          <w:rFonts w:hint="eastAsia"/>
        </w:rPr>
        <w:t>．重金属环境监管能力建设项目工程表</w:t>
      </w:r>
    </w:p>
    <w:p w:rsidR="00AD7E73" w:rsidRDefault="00AD7E73" w:rsidP="00AD7E73">
      <w:pPr>
        <w:rPr>
          <w:rFonts w:hint="eastAsia"/>
        </w:rPr>
      </w:pPr>
      <w:r>
        <w:rPr>
          <w:rFonts w:hint="eastAsia"/>
        </w:rPr>
        <w:t xml:space="preserve">       </w:t>
      </w:r>
    </w:p>
    <w:p w:rsidR="00AD7E73" w:rsidRDefault="00AD7E73" w:rsidP="00AD7E73">
      <w:pPr>
        <w:rPr>
          <w:rFonts w:ascii="宋体" w:eastAsia="宋体" w:hAnsi="宋体" w:cs="宋体" w:hint="eastAsia"/>
          <w:b/>
          <w:bCs/>
          <w:sz w:val="28"/>
          <w:szCs w:val="28"/>
        </w:rPr>
      </w:pPr>
      <w:r>
        <w:rPr>
          <w:rFonts w:hint="eastAsia"/>
        </w:rPr>
        <w:br w:type="page"/>
      </w:r>
      <w:r>
        <w:rPr>
          <w:rFonts w:ascii="宋体" w:eastAsia="宋体" w:hAnsi="宋体" w:cs="宋体" w:hint="eastAsia"/>
          <w:b/>
          <w:bCs/>
          <w:sz w:val="28"/>
          <w:szCs w:val="28"/>
        </w:rPr>
        <w:lastRenderedPageBreak/>
        <w:t>附表1</w:t>
      </w:r>
    </w:p>
    <w:p w:rsidR="00AD7E73" w:rsidRDefault="00AD7E73" w:rsidP="00AD7E73">
      <w:pPr>
        <w:pStyle w:val="1"/>
        <w:spacing w:before="0" w:after="0" w:line="360" w:lineRule="auto"/>
        <w:jc w:val="center"/>
        <w:rPr>
          <w:rFonts w:eastAsia="黑体"/>
          <w:b w:val="0"/>
          <w:sz w:val="32"/>
        </w:rPr>
      </w:pPr>
      <w:r>
        <w:rPr>
          <w:rFonts w:ascii="文鼎小标宋简" w:eastAsia="文鼎小标宋简" w:hAnsi="文鼎小标宋简" w:cs="文鼎小标宋简" w:hint="eastAsia"/>
          <w:sz w:val="36"/>
          <w:szCs w:val="36"/>
        </w:rPr>
        <w:t xml:space="preserve"> 重点区域范围和防控的重点重金属</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0"/>
        <w:gridCol w:w="1538"/>
        <w:gridCol w:w="4616"/>
        <w:gridCol w:w="1734"/>
      </w:tblGrid>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b/>
                <w:sz w:val="21"/>
                <w:szCs w:val="21"/>
              </w:rPr>
            </w:pPr>
            <w:r>
              <w:rPr>
                <w:rFonts w:eastAsia="楷体_GB2312"/>
                <w:b/>
                <w:sz w:val="21"/>
                <w:szCs w:val="21"/>
              </w:rPr>
              <w:t>地市</w:t>
            </w:r>
          </w:p>
        </w:tc>
        <w:tc>
          <w:tcPr>
            <w:tcW w:w="1538" w:type="dxa"/>
            <w:vAlign w:val="center"/>
          </w:tcPr>
          <w:p w:rsidR="00AD7E73" w:rsidRDefault="00AD7E73" w:rsidP="00CE376B">
            <w:pPr>
              <w:spacing w:line="340" w:lineRule="exact"/>
              <w:jc w:val="center"/>
              <w:rPr>
                <w:rFonts w:eastAsia="楷体_GB2312"/>
                <w:b/>
                <w:sz w:val="21"/>
                <w:szCs w:val="21"/>
              </w:rPr>
            </w:pPr>
            <w:r>
              <w:rPr>
                <w:rFonts w:eastAsia="楷体_GB2312"/>
                <w:b/>
                <w:sz w:val="21"/>
                <w:szCs w:val="21"/>
              </w:rPr>
              <w:t>区县</w:t>
            </w:r>
          </w:p>
        </w:tc>
        <w:tc>
          <w:tcPr>
            <w:tcW w:w="4616" w:type="dxa"/>
            <w:vAlign w:val="center"/>
          </w:tcPr>
          <w:p w:rsidR="00AD7E73" w:rsidRDefault="00AD7E73" w:rsidP="00CE376B">
            <w:pPr>
              <w:spacing w:line="340" w:lineRule="exact"/>
              <w:jc w:val="center"/>
              <w:rPr>
                <w:rFonts w:eastAsia="楷体_GB2312"/>
                <w:b/>
                <w:sz w:val="21"/>
                <w:szCs w:val="21"/>
              </w:rPr>
            </w:pPr>
            <w:r>
              <w:rPr>
                <w:rFonts w:eastAsia="楷体_GB2312"/>
                <w:b/>
                <w:sz w:val="21"/>
                <w:szCs w:val="21"/>
              </w:rPr>
              <w:t>重点区域范围（镇区、街道）</w:t>
            </w:r>
          </w:p>
        </w:tc>
        <w:tc>
          <w:tcPr>
            <w:tcW w:w="1734" w:type="dxa"/>
          </w:tcPr>
          <w:p w:rsidR="00AD7E73" w:rsidRDefault="00AD7E73" w:rsidP="00CE376B">
            <w:pPr>
              <w:spacing w:line="340" w:lineRule="exact"/>
              <w:jc w:val="center"/>
              <w:rPr>
                <w:rFonts w:eastAsia="楷体_GB2312"/>
                <w:b/>
                <w:sz w:val="21"/>
                <w:szCs w:val="21"/>
              </w:rPr>
            </w:pPr>
            <w:r>
              <w:rPr>
                <w:rFonts w:eastAsia="楷体_GB2312"/>
                <w:b/>
                <w:sz w:val="21"/>
                <w:szCs w:val="21"/>
              </w:rPr>
              <w:t>主要防控污染物</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佛山市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顺德区</w:t>
            </w:r>
          </w:p>
        </w:tc>
        <w:tc>
          <w:tcPr>
            <w:tcW w:w="4616" w:type="dxa"/>
            <w:vAlign w:val="center"/>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容桂街道、杏坛镇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佛山市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禅城区</w:t>
            </w:r>
          </w:p>
        </w:tc>
        <w:tc>
          <w:tcPr>
            <w:tcW w:w="4616" w:type="dxa"/>
            <w:vAlign w:val="center"/>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石湾镇街道、南庄镇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佛山市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南海区</w:t>
            </w:r>
          </w:p>
        </w:tc>
        <w:tc>
          <w:tcPr>
            <w:tcW w:w="4616" w:type="dxa"/>
            <w:vAlign w:val="center"/>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狮山镇、罗村</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中山市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三角镇；小榄镇；东升镇；阜沙镇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东莞市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长安镇；麻涌镇；虎门镇；沙田镇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肇庆市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四会市</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东城街道、龙甫镇、下茆镇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肇庆市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高要区</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金利镇、</w:t>
            </w:r>
            <w:hyperlink r:id="rId5" w:tgtFrame="_blank" w:history="1">
              <w:r>
                <w:rPr>
                  <w:rFonts w:eastAsia="楷体_GB2312"/>
                  <w:color w:val="000000"/>
                  <w:kern w:val="0"/>
                  <w:sz w:val="21"/>
                  <w:szCs w:val="21"/>
                </w:rPr>
                <w:t>金渡镇</w:t>
              </w:r>
            </w:hyperlink>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深圳市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宝安区</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沙井街道、松岗街道</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深圳市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龙岗区</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坪地街道、龙岗街道</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江门市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新会区</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会城街道</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江门市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蓬江区</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杜阮镇、白沙街道、荷塘镇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江门市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开平市</w:t>
            </w:r>
          </w:p>
        </w:tc>
        <w:tc>
          <w:tcPr>
            <w:tcW w:w="4616" w:type="dxa"/>
            <w:vAlign w:val="center"/>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月山镇、水口镇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广州市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番禺区</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石基镇、榄核镇、沙头街道、大龙街道</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惠州市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惠阳区</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新圩镇、淡水街道</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惠州市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博罗县</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园洲镇、石湾镇、龙溪镇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韶关市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翁源县</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铁龙镇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Cd</w:t>
            </w:r>
            <w:r>
              <w:rPr>
                <w:rFonts w:eastAsia="楷体_GB2312"/>
                <w:sz w:val="21"/>
                <w:szCs w:val="21"/>
              </w:rPr>
              <w:t>、</w:t>
            </w:r>
            <w:r>
              <w:rPr>
                <w:rFonts w:eastAsia="楷体_GB2312"/>
                <w:sz w:val="21"/>
                <w:szCs w:val="21"/>
              </w:rPr>
              <w:t>Pb</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韶关市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仁化县</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董塘镇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Cd</w:t>
            </w:r>
            <w:r>
              <w:rPr>
                <w:rFonts w:eastAsia="楷体_GB2312"/>
                <w:sz w:val="21"/>
                <w:szCs w:val="21"/>
              </w:rPr>
              <w:t>、</w:t>
            </w:r>
            <w:r>
              <w:rPr>
                <w:rFonts w:eastAsia="楷体_GB2312"/>
                <w:sz w:val="21"/>
                <w:szCs w:val="21"/>
              </w:rPr>
              <w:t>Pb</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韶关市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曲江区</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沙溪镇、乌石镇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Cd</w:t>
            </w:r>
            <w:r>
              <w:rPr>
                <w:rFonts w:eastAsia="楷体_GB2312"/>
                <w:sz w:val="21"/>
                <w:szCs w:val="21"/>
              </w:rPr>
              <w:t>、</w:t>
            </w:r>
            <w:r>
              <w:rPr>
                <w:rFonts w:eastAsia="楷体_GB2312"/>
                <w:sz w:val="21"/>
                <w:szCs w:val="21"/>
              </w:rPr>
              <w:t>Pb</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韶关市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乐昌市</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乐城镇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Pb</w:t>
            </w:r>
            <w:r>
              <w:rPr>
                <w:rFonts w:eastAsia="楷体_GB2312"/>
                <w:sz w:val="21"/>
                <w:szCs w:val="21"/>
              </w:rPr>
              <w:t>、</w:t>
            </w:r>
            <w:r>
              <w:rPr>
                <w:rFonts w:eastAsia="楷体_GB2312"/>
                <w:sz w:val="21"/>
                <w:szCs w:val="21"/>
              </w:rPr>
              <w:t>Cd</w:t>
            </w:r>
            <w:r>
              <w:rPr>
                <w:rFonts w:eastAsia="楷体_GB2312"/>
                <w:sz w:val="21"/>
                <w:szCs w:val="21"/>
              </w:rPr>
              <w:t>、</w:t>
            </w:r>
            <w:r>
              <w:rPr>
                <w:rFonts w:eastAsia="楷体_GB2312"/>
                <w:sz w:val="21"/>
                <w:szCs w:val="21"/>
              </w:rPr>
              <w:t>As</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韶关市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浈江区</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韶关冶炼厂</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Pb</w:t>
            </w:r>
            <w:r>
              <w:rPr>
                <w:rFonts w:eastAsia="楷体_GB2312"/>
                <w:sz w:val="21"/>
                <w:szCs w:val="21"/>
              </w:rPr>
              <w:t>、</w:t>
            </w:r>
            <w:r>
              <w:rPr>
                <w:rFonts w:eastAsia="楷体_GB2312"/>
                <w:sz w:val="21"/>
                <w:szCs w:val="21"/>
              </w:rPr>
              <w:t>Cd</w:t>
            </w:r>
            <w:r>
              <w:rPr>
                <w:rFonts w:eastAsia="楷体_GB2312"/>
                <w:sz w:val="21"/>
                <w:szCs w:val="21"/>
              </w:rPr>
              <w:t>、</w:t>
            </w:r>
            <w:r>
              <w:rPr>
                <w:rFonts w:eastAsia="楷体_GB2312"/>
                <w:sz w:val="21"/>
                <w:szCs w:val="21"/>
              </w:rPr>
              <w:t>As</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汕头市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潮阳区</w:t>
            </w:r>
          </w:p>
        </w:tc>
        <w:tc>
          <w:tcPr>
            <w:tcW w:w="4616" w:type="dxa"/>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贵屿镇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Pb</w:t>
            </w:r>
            <w:r>
              <w:rPr>
                <w:rFonts w:eastAsia="楷体_GB2312"/>
                <w:sz w:val="21"/>
                <w:szCs w:val="21"/>
              </w:rPr>
              <w:t>、</w:t>
            </w:r>
            <w:r>
              <w:rPr>
                <w:rFonts w:eastAsia="楷体_GB2312"/>
                <w:sz w:val="21"/>
                <w:szCs w:val="21"/>
              </w:rPr>
              <w:t>Cd</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清远市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清城区</w:t>
            </w:r>
          </w:p>
        </w:tc>
        <w:tc>
          <w:tcPr>
            <w:tcW w:w="4616" w:type="dxa"/>
            <w:vAlign w:val="center"/>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龙塘镇、石角镇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Pb</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云浮市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云安、云城区</w:t>
            </w:r>
          </w:p>
        </w:tc>
        <w:tc>
          <w:tcPr>
            <w:tcW w:w="4616" w:type="dxa"/>
            <w:vAlign w:val="center"/>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六都镇，高峰街道</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Tl</w:t>
            </w:r>
          </w:p>
        </w:tc>
      </w:tr>
      <w:tr w:rsidR="00AD7E73" w:rsidTr="00CE376B">
        <w:trPr>
          <w:trHeight w:val="306"/>
          <w:jc w:val="center"/>
        </w:trPr>
        <w:tc>
          <w:tcPr>
            <w:tcW w:w="1400"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茂名市</w:t>
            </w:r>
          </w:p>
        </w:tc>
        <w:tc>
          <w:tcPr>
            <w:tcW w:w="1538" w:type="dxa"/>
            <w:vAlign w:val="center"/>
          </w:tcPr>
          <w:p w:rsidR="00AD7E73" w:rsidRDefault="00AD7E73" w:rsidP="00CE376B">
            <w:pPr>
              <w:spacing w:line="340" w:lineRule="exact"/>
              <w:jc w:val="center"/>
              <w:rPr>
                <w:rFonts w:eastAsia="楷体_GB2312"/>
                <w:color w:val="000000"/>
                <w:kern w:val="0"/>
                <w:sz w:val="21"/>
                <w:szCs w:val="21"/>
              </w:rPr>
            </w:pPr>
            <w:r>
              <w:rPr>
                <w:rFonts w:eastAsia="楷体_GB2312"/>
                <w:color w:val="000000"/>
                <w:kern w:val="0"/>
                <w:sz w:val="21"/>
                <w:szCs w:val="21"/>
              </w:rPr>
              <w:t>高州、茂南区</w:t>
            </w:r>
          </w:p>
        </w:tc>
        <w:tc>
          <w:tcPr>
            <w:tcW w:w="4616" w:type="dxa"/>
            <w:vAlign w:val="center"/>
          </w:tcPr>
          <w:p w:rsidR="00AD7E73" w:rsidRDefault="00AD7E73" w:rsidP="00CE376B">
            <w:pPr>
              <w:spacing w:line="340" w:lineRule="exact"/>
              <w:jc w:val="left"/>
              <w:rPr>
                <w:rFonts w:eastAsia="楷体_GB2312"/>
                <w:color w:val="000000"/>
                <w:kern w:val="0"/>
                <w:sz w:val="21"/>
                <w:szCs w:val="21"/>
              </w:rPr>
            </w:pPr>
            <w:r>
              <w:rPr>
                <w:rFonts w:eastAsia="楷体_GB2312"/>
                <w:color w:val="000000"/>
                <w:kern w:val="0"/>
                <w:sz w:val="21"/>
                <w:szCs w:val="21"/>
              </w:rPr>
              <w:t>金山街道、石鼓镇，金塘镇</w:t>
            </w:r>
          </w:p>
        </w:tc>
        <w:tc>
          <w:tcPr>
            <w:tcW w:w="1734" w:type="dxa"/>
          </w:tcPr>
          <w:p w:rsidR="00AD7E73" w:rsidRDefault="00AD7E73" w:rsidP="00CE376B">
            <w:pPr>
              <w:spacing w:line="340" w:lineRule="exact"/>
              <w:jc w:val="left"/>
              <w:rPr>
                <w:rFonts w:eastAsia="楷体_GB2312"/>
                <w:sz w:val="21"/>
                <w:szCs w:val="21"/>
              </w:rPr>
            </w:pPr>
            <w:r>
              <w:rPr>
                <w:rFonts w:eastAsia="楷体_GB2312"/>
                <w:sz w:val="21"/>
                <w:szCs w:val="21"/>
              </w:rPr>
              <w:t>Cr</w:t>
            </w:r>
          </w:p>
        </w:tc>
      </w:tr>
    </w:tbl>
    <w:p w:rsidR="00AD7E73" w:rsidRDefault="00AD7E73" w:rsidP="00AD7E73">
      <w:pPr>
        <w:sectPr w:rsidR="00AD7E73">
          <w:footerReference w:type="default" r:id="rId6"/>
          <w:pgSz w:w="11906" w:h="16838"/>
          <w:pgMar w:top="2098" w:right="1474" w:bottom="1985" w:left="1587" w:header="851" w:footer="1588" w:gutter="0"/>
          <w:cols w:space="720"/>
          <w:docGrid w:type="linesAndChars" w:linePitch="579" w:charSpace="-849"/>
        </w:sectPr>
      </w:pPr>
    </w:p>
    <w:p w:rsidR="00AD7E73" w:rsidRDefault="00AD7E73" w:rsidP="00AD7E73">
      <w:pPr>
        <w:rPr>
          <w:rFonts w:ascii="宋体" w:eastAsia="宋体" w:hAnsi="宋体" w:cs="宋体" w:hint="eastAsia"/>
          <w:b/>
          <w:bCs/>
          <w:sz w:val="28"/>
          <w:szCs w:val="28"/>
        </w:rPr>
      </w:pPr>
      <w:r>
        <w:rPr>
          <w:rFonts w:ascii="宋体" w:eastAsia="宋体" w:hAnsi="宋体" w:cs="宋体" w:hint="eastAsia"/>
          <w:b/>
          <w:bCs/>
          <w:sz w:val="28"/>
          <w:szCs w:val="28"/>
        </w:rPr>
        <w:lastRenderedPageBreak/>
        <w:t xml:space="preserve">附表2 </w:t>
      </w:r>
    </w:p>
    <w:p w:rsidR="00AD7E73" w:rsidRDefault="00AD7E73" w:rsidP="00AD7E73">
      <w:pPr>
        <w:pStyle w:val="1"/>
        <w:spacing w:before="0" w:after="0" w:line="360" w:lineRule="auto"/>
        <w:jc w:val="center"/>
        <w:rPr>
          <w:rFonts w:ascii="文鼎小标宋简" w:eastAsia="文鼎小标宋简" w:hAnsi="文鼎小标宋简" w:cs="文鼎小标宋简" w:hint="eastAsia"/>
          <w:sz w:val="36"/>
          <w:szCs w:val="36"/>
        </w:rPr>
      </w:pPr>
      <w:r>
        <w:rPr>
          <w:rFonts w:ascii="文鼎小标宋简" w:eastAsia="文鼎小标宋简" w:hAnsi="文鼎小标宋简" w:cs="文鼎小标宋简" w:hint="eastAsia"/>
          <w:sz w:val="36"/>
          <w:szCs w:val="36"/>
        </w:rPr>
        <w:t xml:space="preserve"> 污染源综合治理项目工程汇总表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2087"/>
        <w:gridCol w:w="8363"/>
        <w:gridCol w:w="1917"/>
      </w:tblGrid>
      <w:tr w:rsidR="00AD7E73" w:rsidTr="00CE376B">
        <w:trPr>
          <w:trHeight w:val="363"/>
          <w:tblHeader/>
          <w:jc w:val="center"/>
        </w:trPr>
        <w:tc>
          <w:tcPr>
            <w:tcW w:w="1448" w:type="dxa"/>
            <w:vAlign w:val="center"/>
          </w:tcPr>
          <w:p w:rsidR="00AD7E73" w:rsidRDefault="00AD7E73" w:rsidP="00CE376B">
            <w:pPr>
              <w:pStyle w:val="p0"/>
              <w:spacing w:line="360" w:lineRule="exact"/>
              <w:jc w:val="center"/>
              <w:rPr>
                <w:rFonts w:eastAsia="楷体_GB2312" w:cs="Times New Roman"/>
                <w:b/>
                <w:bCs/>
                <w:color w:val="000000"/>
                <w:sz w:val="21"/>
              </w:rPr>
            </w:pPr>
            <w:r>
              <w:rPr>
                <w:rFonts w:eastAsia="楷体_GB2312" w:cs="Times New Roman"/>
                <w:b/>
                <w:bCs/>
                <w:color w:val="000000"/>
                <w:sz w:val="21"/>
              </w:rPr>
              <w:t>序号</w:t>
            </w:r>
          </w:p>
        </w:tc>
        <w:tc>
          <w:tcPr>
            <w:tcW w:w="2087" w:type="dxa"/>
            <w:vAlign w:val="center"/>
          </w:tcPr>
          <w:p w:rsidR="00AD7E73" w:rsidRDefault="00AD7E73" w:rsidP="00CE376B">
            <w:pPr>
              <w:pStyle w:val="p0"/>
              <w:spacing w:line="360" w:lineRule="exact"/>
              <w:jc w:val="center"/>
              <w:rPr>
                <w:rFonts w:eastAsia="楷体_GB2312" w:cs="Times New Roman"/>
                <w:b/>
                <w:bCs/>
                <w:color w:val="000000"/>
                <w:sz w:val="21"/>
              </w:rPr>
            </w:pPr>
            <w:r>
              <w:rPr>
                <w:rFonts w:eastAsia="楷体_GB2312" w:cs="Times New Roman"/>
                <w:b/>
                <w:bCs/>
                <w:color w:val="000000"/>
                <w:sz w:val="21"/>
              </w:rPr>
              <w:t>项目名称</w:t>
            </w:r>
          </w:p>
        </w:tc>
        <w:tc>
          <w:tcPr>
            <w:tcW w:w="8363" w:type="dxa"/>
            <w:vAlign w:val="center"/>
          </w:tcPr>
          <w:p w:rsidR="00AD7E73" w:rsidRDefault="00AD7E73" w:rsidP="00CE376B">
            <w:pPr>
              <w:pStyle w:val="p0"/>
              <w:spacing w:line="360" w:lineRule="exact"/>
              <w:ind w:firstLine="361"/>
              <w:jc w:val="center"/>
              <w:rPr>
                <w:rFonts w:eastAsia="楷体_GB2312" w:cs="Times New Roman"/>
                <w:b/>
                <w:bCs/>
                <w:color w:val="000000"/>
                <w:sz w:val="21"/>
              </w:rPr>
            </w:pPr>
            <w:r>
              <w:rPr>
                <w:rFonts w:eastAsia="楷体_GB2312" w:cs="Times New Roman"/>
                <w:b/>
                <w:bCs/>
                <w:color w:val="000000"/>
                <w:sz w:val="21"/>
              </w:rPr>
              <w:t>建设内容</w:t>
            </w:r>
          </w:p>
        </w:tc>
        <w:tc>
          <w:tcPr>
            <w:tcW w:w="1917" w:type="dxa"/>
            <w:vAlign w:val="center"/>
          </w:tcPr>
          <w:p w:rsidR="00AD7E73" w:rsidRDefault="00AD7E73" w:rsidP="00CE376B">
            <w:pPr>
              <w:pStyle w:val="p0"/>
              <w:spacing w:line="360" w:lineRule="exact"/>
              <w:jc w:val="center"/>
              <w:rPr>
                <w:rFonts w:eastAsia="楷体_GB2312" w:cs="Times New Roman"/>
                <w:b/>
                <w:bCs/>
                <w:color w:val="000000"/>
                <w:sz w:val="21"/>
              </w:rPr>
            </w:pPr>
            <w:r>
              <w:rPr>
                <w:rFonts w:eastAsia="楷体_GB2312" w:cs="Times New Roman"/>
                <w:b/>
                <w:bCs/>
                <w:color w:val="000000"/>
                <w:sz w:val="21"/>
              </w:rPr>
              <w:t>责任单位</w:t>
            </w:r>
          </w:p>
        </w:tc>
      </w:tr>
      <w:tr w:rsidR="00AD7E73" w:rsidTr="00CE376B">
        <w:trPr>
          <w:trHeight w:val="363"/>
          <w:jc w:val="center"/>
        </w:trPr>
        <w:tc>
          <w:tcPr>
            <w:tcW w:w="13815" w:type="dxa"/>
            <w:gridSpan w:val="4"/>
            <w:vAlign w:val="center"/>
          </w:tcPr>
          <w:p w:rsidR="00AD7E73" w:rsidRDefault="00AD7E73" w:rsidP="00CE376B">
            <w:pPr>
              <w:pStyle w:val="p0"/>
              <w:spacing w:line="360" w:lineRule="exact"/>
              <w:rPr>
                <w:rFonts w:eastAsia="楷体_GB2312" w:cs="Times New Roman"/>
                <w:b/>
                <w:bCs/>
                <w:color w:val="000000"/>
                <w:sz w:val="21"/>
              </w:rPr>
            </w:pPr>
            <w:r>
              <w:rPr>
                <w:rFonts w:eastAsia="楷体_GB2312" w:cs="Times New Roman"/>
                <w:b/>
                <w:bCs/>
                <w:color w:val="000000"/>
                <w:sz w:val="21"/>
              </w:rPr>
              <w:t>（一）电镀行业</w:t>
            </w:r>
          </w:p>
        </w:tc>
      </w:tr>
      <w:tr w:rsidR="00AD7E73" w:rsidTr="00CE376B">
        <w:trPr>
          <w:trHeight w:val="363"/>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1</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电镀基地废水治理及清洁化改造工程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hint="eastAsia"/>
                <w:color w:val="000000"/>
                <w:sz w:val="21"/>
              </w:rPr>
              <w:t>全面</w:t>
            </w:r>
            <w:r>
              <w:rPr>
                <w:rFonts w:eastAsia="楷体_GB2312" w:cs="Times New Roman"/>
                <w:color w:val="000000"/>
                <w:sz w:val="21"/>
              </w:rPr>
              <w:t>推进顺德杏坛电镀集中区、中山三角镇高平电镀基地、肇庆四会龙甫电镀园区、东莞市长安电镀印染专业基地、东莞市沙田镇电镀印染专业基地、东莞市麻涌镇豪峰电镀定点基地、阳江市环保工业园埠场电镀定点基地、清新县太平镇龙湾电镀定点基地等</w:t>
            </w:r>
            <w:r>
              <w:rPr>
                <w:rFonts w:eastAsia="楷体_GB2312" w:cs="Times New Roman"/>
                <w:color w:val="000000"/>
                <w:sz w:val="21"/>
              </w:rPr>
              <w:t>8</w:t>
            </w:r>
            <w:r>
              <w:rPr>
                <w:rFonts w:eastAsia="楷体_GB2312" w:cs="Times New Roman"/>
                <w:color w:val="000000"/>
                <w:sz w:val="21"/>
              </w:rPr>
              <w:t>个电镀专业基地污染治理设施的升级改造，强化废水的深度处理，提升废水回用率达</w:t>
            </w:r>
            <w:r>
              <w:rPr>
                <w:rFonts w:eastAsia="楷体_GB2312" w:cs="Times New Roman"/>
                <w:color w:val="000000"/>
                <w:sz w:val="21"/>
              </w:rPr>
              <w:t>60%</w:t>
            </w:r>
            <w:r>
              <w:rPr>
                <w:rFonts w:eastAsia="楷体_GB2312" w:cs="Times New Roman"/>
                <w:color w:val="000000"/>
                <w:sz w:val="21"/>
              </w:rPr>
              <w:t>以上，实现稳定达标排放。推进博罗龙溪电镀基地电镀废水重金属全过程控制项目，实施镀件低废水排放的清洗技术与重金属源头削减、基于水质特性的重金属废水分质资源化及末端处理升级改造等工程，实现重金属污染物的全过程控制和稳定达标排放。</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电镀基地所在各地级以上市人民政府</w:t>
            </w:r>
          </w:p>
        </w:tc>
      </w:tr>
      <w:tr w:rsidR="00AD7E73" w:rsidTr="00CE376B">
        <w:trPr>
          <w:trHeight w:val="363"/>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2</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电镀企业废水治理及清洁化改造工程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加快推进粤东西北地区园区外电镀企业废水治理的升级改造，确保废水稳定达标排放。开展园区外电镀企业清洁化改造，实现企业清洁生产水平达到国家先进水平，开展企业废水回用设施的升级改造，实现企业废水回用率达到</w:t>
            </w:r>
            <w:r>
              <w:rPr>
                <w:rFonts w:eastAsia="楷体_GB2312" w:cs="Times New Roman"/>
                <w:color w:val="000000"/>
                <w:sz w:val="21"/>
              </w:rPr>
              <w:t>60%</w:t>
            </w:r>
            <w:r>
              <w:rPr>
                <w:rFonts w:eastAsia="楷体_GB2312" w:cs="Times New Roman"/>
                <w:color w:val="000000"/>
                <w:sz w:val="21"/>
              </w:rPr>
              <w:t>。</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电镀企业所在各地级以上市人民政府</w:t>
            </w:r>
          </w:p>
        </w:tc>
      </w:tr>
      <w:tr w:rsidR="00AD7E73" w:rsidTr="00CE376B">
        <w:trPr>
          <w:trHeight w:val="363"/>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3</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电镀企业清洁生产推广示范工程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在专业电镀企业中推广镀铬溶液净化回收技术，提高槽液的寿命周期，从而减少含铬污染物的产生。</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电镀企业所在各地级以上市人民政府</w:t>
            </w:r>
          </w:p>
        </w:tc>
      </w:tr>
      <w:tr w:rsidR="00AD7E73" w:rsidTr="00CE376B">
        <w:trPr>
          <w:trHeight w:val="363"/>
          <w:jc w:val="center"/>
        </w:trPr>
        <w:tc>
          <w:tcPr>
            <w:tcW w:w="13815" w:type="dxa"/>
            <w:gridSpan w:val="4"/>
            <w:vAlign w:val="center"/>
          </w:tcPr>
          <w:p w:rsidR="00AD7E73" w:rsidRDefault="00AD7E73" w:rsidP="00CE376B">
            <w:pPr>
              <w:pStyle w:val="p0"/>
              <w:spacing w:line="360" w:lineRule="exact"/>
              <w:rPr>
                <w:rFonts w:eastAsia="楷体_GB2312" w:cs="Times New Roman"/>
                <w:b/>
                <w:bCs/>
                <w:color w:val="000000"/>
                <w:sz w:val="21"/>
              </w:rPr>
            </w:pPr>
            <w:r>
              <w:rPr>
                <w:rFonts w:eastAsia="楷体_GB2312" w:cs="Times New Roman"/>
                <w:b/>
                <w:bCs/>
                <w:color w:val="000000"/>
                <w:sz w:val="21"/>
              </w:rPr>
              <w:t>（二）重有色金属矿采选业</w:t>
            </w:r>
          </w:p>
        </w:tc>
      </w:tr>
      <w:tr w:rsidR="00AD7E73" w:rsidTr="00CE376B">
        <w:trPr>
          <w:trHeight w:val="1265"/>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4</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重有色金属矿采选综合治理工程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加快推进矿山企业污水治理设施的升级改造，强化重金属铊、锑的协同控制，推行采选作业清洁化改造，实现选矿废水处理后回用于选矿工序，企业清洁生产水平达到国内先进；推进矿区雨污分流设施建设，加快推进矿区和闭矿尾矿库复绿复垦。</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企业所在各地级以上市人民政府</w:t>
            </w:r>
          </w:p>
        </w:tc>
      </w:tr>
      <w:tr w:rsidR="00AD7E73" w:rsidTr="00CE376B">
        <w:trPr>
          <w:trHeight w:val="578"/>
          <w:jc w:val="center"/>
        </w:trPr>
        <w:tc>
          <w:tcPr>
            <w:tcW w:w="13815" w:type="dxa"/>
            <w:gridSpan w:val="4"/>
            <w:vAlign w:val="center"/>
          </w:tcPr>
          <w:p w:rsidR="00AD7E73" w:rsidRDefault="00AD7E73" w:rsidP="00CE376B">
            <w:pPr>
              <w:pStyle w:val="p0"/>
              <w:spacing w:line="360" w:lineRule="exact"/>
              <w:rPr>
                <w:rFonts w:eastAsia="楷体_GB2312" w:cs="Times New Roman"/>
                <w:b/>
                <w:color w:val="000000"/>
                <w:sz w:val="21"/>
              </w:rPr>
            </w:pPr>
            <w:r>
              <w:rPr>
                <w:rFonts w:eastAsia="楷体_GB2312" w:cs="Times New Roman"/>
                <w:b/>
                <w:color w:val="000000"/>
                <w:sz w:val="21"/>
              </w:rPr>
              <w:lastRenderedPageBreak/>
              <w:t>（三）重有色金属冶炼业</w:t>
            </w:r>
          </w:p>
        </w:tc>
      </w:tr>
      <w:tr w:rsidR="00AD7E73" w:rsidTr="00CE376B">
        <w:trPr>
          <w:trHeight w:val="363"/>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5</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重有色金属冶炼企业清洁化改造综合治理工程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推进重有色金属冶炼重点监控企业废气重金属治理设施的升级改造，加强企业无组织排放废气的控制，确保无组织排放废气收集率达</w:t>
            </w:r>
            <w:r>
              <w:rPr>
                <w:rFonts w:eastAsia="楷体_GB2312" w:cs="Times New Roman"/>
                <w:color w:val="000000"/>
                <w:sz w:val="21"/>
              </w:rPr>
              <w:t>90%</w:t>
            </w:r>
            <w:r>
              <w:rPr>
                <w:rFonts w:eastAsia="楷体_GB2312" w:cs="Times New Roman"/>
                <w:color w:val="000000"/>
                <w:sz w:val="21"/>
              </w:rPr>
              <w:t>以上，并处理实现重金属稳定达标排放。加强涉铊排放金属冶炼企业污水治理设施的升级改造，强化铊、锑等重金属的协同控制，实施污染物稳定达标排放。推进企业雨水收集设施建设，加强初期雨水的收集，其中铅锌冶炼企业重要生产区要实现雨水的全收集处理。推进金属冶炼企业的清洁节生产改造，</w:t>
            </w:r>
            <w:r>
              <w:rPr>
                <w:rFonts w:eastAsia="楷体_GB2312" w:cs="Times New Roman"/>
                <w:color w:val="000000"/>
                <w:sz w:val="21"/>
              </w:rPr>
              <w:t>2020</w:t>
            </w:r>
            <w:r>
              <w:rPr>
                <w:rFonts w:eastAsia="楷体_GB2312" w:cs="Times New Roman"/>
                <w:color w:val="000000"/>
                <w:sz w:val="21"/>
              </w:rPr>
              <w:t>年底前，企业清洁生产水平达国内先进。</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企业所在各地级以上市人民政府</w:t>
            </w:r>
          </w:p>
        </w:tc>
      </w:tr>
      <w:tr w:rsidR="00AD7E73" w:rsidTr="00CE376B">
        <w:trPr>
          <w:trHeight w:val="363"/>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6</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铅锌冶炼企业防治技术示范工程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加快推进韶关市凡口铅锌矿周边地区、韶关市浈江区等重点</w:t>
            </w:r>
            <w:r>
              <w:rPr>
                <w:rFonts w:eastAsia="楷体_GB2312" w:cs="Times New Roman" w:hint="eastAsia"/>
                <w:color w:val="000000"/>
                <w:sz w:val="21"/>
              </w:rPr>
              <w:t>防控地区铅</w:t>
            </w:r>
            <w:r>
              <w:rPr>
                <w:rFonts w:eastAsia="楷体_GB2312" w:cs="Times New Roman"/>
                <w:color w:val="000000"/>
                <w:sz w:val="21"/>
              </w:rPr>
              <w:t>锌冶炼废水分质回用集成技术，提升企业废水回用率，减少废水排放量。</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韶关市人民政府</w:t>
            </w:r>
          </w:p>
        </w:tc>
      </w:tr>
      <w:tr w:rsidR="00AD7E73" w:rsidTr="00CE376B">
        <w:trPr>
          <w:trHeight w:val="363"/>
          <w:jc w:val="center"/>
        </w:trPr>
        <w:tc>
          <w:tcPr>
            <w:tcW w:w="13815" w:type="dxa"/>
            <w:gridSpan w:val="4"/>
            <w:vAlign w:val="center"/>
          </w:tcPr>
          <w:p w:rsidR="00AD7E73" w:rsidRDefault="00AD7E73" w:rsidP="00CE376B">
            <w:pPr>
              <w:pStyle w:val="p0"/>
              <w:spacing w:line="360" w:lineRule="exact"/>
              <w:rPr>
                <w:rFonts w:eastAsia="楷体_GB2312" w:cs="Times New Roman"/>
                <w:b/>
                <w:color w:val="000000"/>
                <w:sz w:val="21"/>
              </w:rPr>
            </w:pPr>
            <w:r>
              <w:rPr>
                <w:rFonts w:eastAsia="楷体_GB2312" w:cs="Times New Roman"/>
                <w:b/>
                <w:color w:val="000000"/>
                <w:sz w:val="21"/>
              </w:rPr>
              <w:t>（四）铅蓄电池制造行业</w:t>
            </w:r>
          </w:p>
        </w:tc>
      </w:tr>
      <w:tr w:rsidR="00AD7E73" w:rsidTr="00CE376B">
        <w:trPr>
          <w:trHeight w:val="363"/>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7</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铅蓄电池制造企业清洁化改造治理工程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加快推进铅酸电池企业收尘和废气处理设施的升级改造，采取密闭车间、铅烟及铅尘产生点密闭负负压及增加集气罩等措施，无组织排放铅烟及铅尘收集率达</w:t>
            </w:r>
            <w:r>
              <w:rPr>
                <w:rFonts w:eastAsia="楷体_GB2312" w:cs="Times New Roman"/>
                <w:color w:val="000000"/>
                <w:sz w:val="21"/>
              </w:rPr>
              <w:t>90%</w:t>
            </w:r>
            <w:r>
              <w:rPr>
                <w:rFonts w:eastAsia="楷体_GB2312" w:cs="Times New Roman"/>
                <w:color w:val="000000"/>
                <w:sz w:val="21"/>
              </w:rPr>
              <w:t>以上并处理达标排放。实施企业清洁生产审核，升级改造企业废水治理及回用设施，鼓励生产废水全部循环利用。</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企业所在各地级以上市人民政府</w:t>
            </w:r>
          </w:p>
        </w:tc>
      </w:tr>
      <w:tr w:rsidR="00AD7E73" w:rsidTr="00CE376B">
        <w:trPr>
          <w:trHeight w:val="363"/>
          <w:jc w:val="center"/>
        </w:trPr>
        <w:tc>
          <w:tcPr>
            <w:tcW w:w="13815" w:type="dxa"/>
            <w:gridSpan w:val="4"/>
            <w:vAlign w:val="center"/>
          </w:tcPr>
          <w:p w:rsidR="00AD7E73" w:rsidRDefault="00AD7E73" w:rsidP="00CE376B">
            <w:pPr>
              <w:pStyle w:val="p0"/>
              <w:spacing w:line="360" w:lineRule="exact"/>
              <w:rPr>
                <w:rFonts w:eastAsia="楷体_GB2312" w:cs="Times New Roman"/>
                <w:b/>
                <w:bCs/>
                <w:color w:val="000000"/>
                <w:sz w:val="21"/>
              </w:rPr>
            </w:pPr>
            <w:r>
              <w:rPr>
                <w:rFonts w:eastAsia="楷体_GB2312" w:cs="Times New Roman"/>
                <w:b/>
                <w:bCs/>
                <w:color w:val="000000"/>
                <w:sz w:val="21"/>
              </w:rPr>
              <w:t>（五）皮革制造行业</w:t>
            </w:r>
          </w:p>
        </w:tc>
      </w:tr>
      <w:tr w:rsidR="00AD7E73" w:rsidTr="00CE376B">
        <w:trPr>
          <w:trHeight w:val="1265"/>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8</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皮革企业清洁化改造综合治理工程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鼓励企业实施清洁原料替代，采用蓝湿皮和成品革进行加工，减少生皮加工带来的重金属排放；开展企业清洁生产审核，加快推进皮革制造企业污水治理设施的升级改造，在有条件的皮革企业中开展高吸收铬鞣及其铬鞣废液资源化利用技术示范应用。</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企业所在各地级以上市人民政府</w:t>
            </w:r>
          </w:p>
        </w:tc>
      </w:tr>
      <w:tr w:rsidR="00AD7E73" w:rsidTr="00CE376B">
        <w:trPr>
          <w:trHeight w:val="363"/>
          <w:jc w:val="center"/>
        </w:trPr>
        <w:tc>
          <w:tcPr>
            <w:tcW w:w="13815" w:type="dxa"/>
            <w:gridSpan w:val="4"/>
            <w:vAlign w:val="center"/>
          </w:tcPr>
          <w:p w:rsidR="00AD7E73" w:rsidRDefault="00AD7E73" w:rsidP="00CE376B">
            <w:pPr>
              <w:pStyle w:val="p0"/>
              <w:spacing w:line="360" w:lineRule="exact"/>
              <w:rPr>
                <w:rFonts w:eastAsia="楷体_GB2312" w:cs="Times New Roman"/>
                <w:b/>
                <w:color w:val="000000"/>
                <w:sz w:val="21"/>
              </w:rPr>
            </w:pPr>
            <w:r>
              <w:rPr>
                <w:rFonts w:eastAsia="楷体_GB2312" w:cs="Times New Roman"/>
                <w:b/>
                <w:color w:val="000000"/>
                <w:sz w:val="21"/>
              </w:rPr>
              <w:t>（六）化学原料及化学制品制造业</w:t>
            </w:r>
          </w:p>
        </w:tc>
      </w:tr>
      <w:tr w:rsidR="00AD7E73" w:rsidTr="00CE376B">
        <w:trPr>
          <w:trHeight w:val="1190"/>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9</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化学原料及化学制品制造企业清洁化及污染治理设施改造工程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开展清洁生产审核，升级改造化学原料及化学制品制造企业废水治理及回用设施，强化废水中</w:t>
            </w:r>
            <w:r>
              <w:rPr>
                <w:rFonts w:eastAsia="楷体_GB2312" w:cs="Times New Roman" w:hint="eastAsia"/>
                <w:color w:val="000000"/>
                <w:sz w:val="21"/>
              </w:rPr>
              <w:t>重金属</w:t>
            </w:r>
            <w:r>
              <w:rPr>
                <w:rFonts w:eastAsia="楷体_GB2312" w:cs="Times New Roman"/>
                <w:color w:val="000000"/>
                <w:sz w:val="21"/>
              </w:rPr>
              <w:t>铊的协同控制，实现废水稳定达标排放。</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企业所在各地级以上市人民政府</w:t>
            </w:r>
          </w:p>
        </w:tc>
      </w:tr>
      <w:tr w:rsidR="00AD7E73" w:rsidTr="00CE376B">
        <w:trPr>
          <w:trHeight w:val="363"/>
          <w:jc w:val="center"/>
        </w:trPr>
        <w:tc>
          <w:tcPr>
            <w:tcW w:w="13815" w:type="dxa"/>
            <w:gridSpan w:val="4"/>
            <w:vAlign w:val="center"/>
          </w:tcPr>
          <w:p w:rsidR="00AD7E73" w:rsidRDefault="00AD7E73" w:rsidP="00CE376B">
            <w:pPr>
              <w:pStyle w:val="p0"/>
              <w:spacing w:line="360" w:lineRule="exact"/>
              <w:rPr>
                <w:rFonts w:eastAsia="楷体_GB2312" w:cs="Times New Roman"/>
                <w:b/>
                <w:color w:val="000000"/>
                <w:sz w:val="21"/>
              </w:rPr>
            </w:pPr>
            <w:r>
              <w:rPr>
                <w:rFonts w:eastAsia="楷体_GB2312" w:cs="Times New Roman"/>
                <w:b/>
                <w:color w:val="000000"/>
                <w:sz w:val="21"/>
              </w:rPr>
              <w:lastRenderedPageBreak/>
              <w:t>（七）涉重危险废物回收及处理处置业</w:t>
            </w:r>
          </w:p>
        </w:tc>
      </w:tr>
      <w:tr w:rsidR="00AD7E73" w:rsidTr="00CE376B">
        <w:trPr>
          <w:trHeight w:val="363"/>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10</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广东省危险废物综合处理示范中心二期建设工程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新建一套年处理量</w:t>
            </w:r>
            <w:r>
              <w:rPr>
                <w:rFonts w:eastAsia="楷体_GB2312" w:cs="Times New Roman"/>
                <w:color w:val="000000"/>
                <w:sz w:val="21"/>
              </w:rPr>
              <w:t>3</w:t>
            </w:r>
            <w:r>
              <w:rPr>
                <w:rFonts w:eastAsia="楷体_GB2312" w:cs="Times New Roman"/>
                <w:color w:val="000000"/>
                <w:sz w:val="21"/>
              </w:rPr>
              <w:t>万吨的危险废物焚烧处置线。改造厂房、原料存储库、废水处理车间等，新增一套中高压汽轮发电或低压螺杆发电系统，提高焚烧烟气余热利用率；新建与二期焚烧处置线配套的预处理车间。</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惠州市人民政府</w:t>
            </w:r>
          </w:p>
        </w:tc>
      </w:tr>
      <w:tr w:rsidR="00AD7E73" w:rsidTr="00CE376B">
        <w:trPr>
          <w:trHeight w:val="363"/>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11</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云浮市固体废物处置中心项目（水泥窑协同处理危险废物工程项目）建设工程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一期采用综合处理、焚烧处置、水泥窑协同处置的处置方式，其中：（</w:t>
            </w:r>
            <w:r>
              <w:rPr>
                <w:rFonts w:eastAsia="楷体_GB2312" w:cs="Times New Roman"/>
                <w:color w:val="000000"/>
                <w:sz w:val="21"/>
              </w:rPr>
              <w:t>1</w:t>
            </w:r>
            <w:r>
              <w:rPr>
                <w:rFonts w:eastAsia="楷体_GB2312" w:cs="Times New Roman"/>
                <w:color w:val="000000"/>
                <w:sz w:val="21"/>
              </w:rPr>
              <w:t>）综合处理设计能力为</w:t>
            </w:r>
            <w:r>
              <w:rPr>
                <w:rFonts w:eastAsia="楷体_GB2312" w:cs="Times New Roman"/>
                <w:color w:val="000000"/>
                <w:sz w:val="21"/>
              </w:rPr>
              <w:t>10</w:t>
            </w:r>
            <w:r>
              <w:rPr>
                <w:rFonts w:eastAsia="楷体_GB2312" w:cs="Times New Roman"/>
                <w:color w:val="000000"/>
                <w:sz w:val="21"/>
              </w:rPr>
              <w:t>万吨</w:t>
            </w:r>
            <w:r>
              <w:rPr>
                <w:rFonts w:eastAsia="楷体_GB2312" w:cs="Times New Roman"/>
                <w:color w:val="000000"/>
                <w:sz w:val="21"/>
              </w:rPr>
              <w:t>/a</w:t>
            </w:r>
            <w:r>
              <w:rPr>
                <w:rFonts w:eastAsia="楷体_GB2312" w:cs="Times New Roman"/>
                <w:color w:val="000000"/>
                <w:sz w:val="21"/>
              </w:rPr>
              <w:t>，主要处理包括化铜废液、表面处理废液、硫酸废液、废碱液、含锌废液、有机废液、化镍废液、含铬废液等无价废液在内的危险废物；（</w:t>
            </w:r>
            <w:r>
              <w:rPr>
                <w:rFonts w:eastAsia="楷体_GB2312" w:cs="Times New Roman"/>
                <w:color w:val="000000"/>
                <w:sz w:val="21"/>
              </w:rPr>
              <w:t>2</w:t>
            </w:r>
            <w:r>
              <w:rPr>
                <w:rFonts w:eastAsia="楷体_GB2312" w:cs="Times New Roman"/>
                <w:color w:val="000000"/>
                <w:sz w:val="21"/>
              </w:rPr>
              <w:t>）焚烧处置设计能力为</w:t>
            </w:r>
            <w:r>
              <w:rPr>
                <w:rFonts w:eastAsia="楷体_GB2312" w:cs="Times New Roman"/>
                <w:color w:val="000000"/>
                <w:sz w:val="21"/>
              </w:rPr>
              <w:t>2</w:t>
            </w:r>
            <w:r>
              <w:rPr>
                <w:rFonts w:eastAsia="楷体_GB2312" w:cs="Times New Roman"/>
                <w:color w:val="000000"/>
                <w:sz w:val="21"/>
              </w:rPr>
              <w:t>万吨</w:t>
            </w:r>
            <w:r>
              <w:rPr>
                <w:rFonts w:eastAsia="楷体_GB2312" w:cs="Times New Roman"/>
                <w:color w:val="000000"/>
                <w:sz w:val="21"/>
              </w:rPr>
              <w:t>/a</w:t>
            </w:r>
            <w:r>
              <w:rPr>
                <w:rFonts w:eastAsia="楷体_GB2312" w:cs="Times New Roman"/>
                <w:color w:val="000000"/>
                <w:sz w:val="21"/>
              </w:rPr>
              <w:t>，主要处置包括废矿物油、废有机溶剂、废药物、药品、精馏残渣、染料、涂料废物及破乳后的废乳化油渣等危险废物；（</w:t>
            </w:r>
            <w:r>
              <w:rPr>
                <w:rFonts w:eastAsia="楷体_GB2312" w:cs="Times New Roman"/>
                <w:color w:val="000000"/>
                <w:sz w:val="21"/>
              </w:rPr>
              <w:t>3</w:t>
            </w:r>
            <w:r>
              <w:rPr>
                <w:rFonts w:eastAsia="楷体_GB2312" w:cs="Times New Roman"/>
                <w:color w:val="000000"/>
                <w:sz w:val="21"/>
              </w:rPr>
              <w:t>）水泥窑协同处置设计能力为</w:t>
            </w:r>
            <w:r>
              <w:rPr>
                <w:rFonts w:eastAsia="楷体_GB2312" w:cs="Times New Roman"/>
                <w:color w:val="000000"/>
                <w:sz w:val="21"/>
              </w:rPr>
              <w:t>9</w:t>
            </w:r>
            <w:r>
              <w:rPr>
                <w:rFonts w:eastAsia="楷体_GB2312" w:cs="Times New Roman"/>
                <w:color w:val="000000"/>
                <w:sz w:val="21"/>
              </w:rPr>
              <w:t>万吨</w:t>
            </w:r>
            <w:r>
              <w:rPr>
                <w:rFonts w:eastAsia="楷体_GB2312" w:cs="Times New Roman"/>
                <w:color w:val="000000"/>
                <w:sz w:val="21"/>
              </w:rPr>
              <w:t>/a</w:t>
            </w:r>
            <w:r>
              <w:rPr>
                <w:rFonts w:eastAsia="楷体_GB2312" w:cs="Times New Roman"/>
                <w:color w:val="000000"/>
                <w:sz w:val="21"/>
              </w:rPr>
              <w:t>，主要处置的包括有机废物、重金属废物、无机杂物、预处理后压滤干泥、浓缩废液等危险废物。</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云浮市人民政府</w:t>
            </w:r>
          </w:p>
        </w:tc>
      </w:tr>
      <w:tr w:rsidR="00AD7E73" w:rsidTr="00CE376B">
        <w:trPr>
          <w:trHeight w:val="363"/>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12</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茂名粤西危险废物处理中心建设工程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建设</w:t>
            </w:r>
            <w:r>
              <w:rPr>
                <w:rFonts w:eastAsia="楷体_GB2312" w:cs="Times New Roman"/>
                <w:color w:val="000000"/>
                <w:sz w:val="21"/>
              </w:rPr>
              <w:t>6</w:t>
            </w:r>
            <w:r>
              <w:rPr>
                <w:rFonts w:eastAsia="楷体_GB2312" w:cs="Times New Roman"/>
                <w:color w:val="000000"/>
                <w:sz w:val="21"/>
              </w:rPr>
              <w:t>万吨茂名市危险废物处理中心，提升茂名、湛江、阳江及周边地区危险废物的处置水平。</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茂名市人民政府</w:t>
            </w:r>
          </w:p>
        </w:tc>
      </w:tr>
      <w:tr w:rsidR="00AD7E73" w:rsidTr="00CE376B">
        <w:trPr>
          <w:trHeight w:val="363"/>
          <w:jc w:val="center"/>
        </w:trPr>
        <w:tc>
          <w:tcPr>
            <w:tcW w:w="1448" w:type="dxa"/>
            <w:vAlign w:val="center"/>
          </w:tcPr>
          <w:p w:rsidR="00AD7E73" w:rsidRDefault="00AD7E73" w:rsidP="00CE376B">
            <w:pPr>
              <w:pStyle w:val="p15"/>
              <w:spacing w:line="360" w:lineRule="exact"/>
              <w:ind w:firstLine="0"/>
              <w:jc w:val="center"/>
              <w:rPr>
                <w:rFonts w:eastAsia="楷体_GB2312" w:cs="Times New Roman"/>
                <w:b/>
                <w:color w:val="000000"/>
                <w:sz w:val="21"/>
              </w:rPr>
            </w:pPr>
            <w:r>
              <w:rPr>
                <w:rFonts w:eastAsia="楷体_GB2312" w:cs="Times New Roman"/>
                <w:b/>
                <w:color w:val="000000"/>
                <w:sz w:val="21"/>
              </w:rPr>
              <w:t>13</w:t>
            </w:r>
          </w:p>
        </w:tc>
        <w:tc>
          <w:tcPr>
            <w:tcW w:w="208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江门危险废物综合处理中心建设工程</w:t>
            </w:r>
          </w:p>
        </w:tc>
        <w:tc>
          <w:tcPr>
            <w:tcW w:w="8363"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建设</w:t>
            </w:r>
            <w:r>
              <w:rPr>
                <w:rFonts w:eastAsia="楷体_GB2312" w:cs="Times New Roman"/>
                <w:color w:val="000000"/>
                <w:sz w:val="21"/>
              </w:rPr>
              <w:t>8</w:t>
            </w:r>
            <w:r>
              <w:rPr>
                <w:rFonts w:eastAsia="楷体_GB2312" w:cs="Times New Roman"/>
                <w:color w:val="000000"/>
                <w:sz w:val="21"/>
              </w:rPr>
              <w:t>万吨江门市危险废物处理中心，提升江门及周边地区危险废物的处置水平。</w:t>
            </w:r>
          </w:p>
        </w:tc>
        <w:tc>
          <w:tcPr>
            <w:tcW w:w="1917" w:type="dxa"/>
            <w:vAlign w:val="center"/>
          </w:tcPr>
          <w:p w:rsidR="00AD7E73" w:rsidRDefault="00AD7E73" w:rsidP="00CE376B">
            <w:pPr>
              <w:pStyle w:val="p0"/>
              <w:spacing w:line="360" w:lineRule="exact"/>
              <w:rPr>
                <w:rFonts w:eastAsia="楷体_GB2312" w:cs="Times New Roman"/>
                <w:color w:val="000000"/>
                <w:sz w:val="21"/>
              </w:rPr>
            </w:pPr>
            <w:r>
              <w:rPr>
                <w:rFonts w:eastAsia="楷体_GB2312" w:cs="Times New Roman"/>
                <w:color w:val="000000"/>
                <w:sz w:val="21"/>
              </w:rPr>
              <w:t>江门市人民政府</w:t>
            </w:r>
          </w:p>
        </w:tc>
      </w:tr>
    </w:tbl>
    <w:p w:rsidR="00AD7E73" w:rsidRDefault="00AD7E73" w:rsidP="00AD7E73">
      <w:pPr>
        <w:rPr>
          <w:rFonts w:ascii="宋体" w:eastAsia="宋体" w:hAnsi="宋体" w:cs="宋体" w:hint="eastAsia"/>
          <w:b/>
          <w:bCs/>
          <w:sz w:val="28"/>
          <w:szCs w:val="28"/>
        </w:rPr>
      </w:pPr>
    </w:p>
    <w:p w:rsidR="00AD7E73" w:rsidRDefault="00AD7E73" w:rsidP="00AD7E73"/>
    <w:p w:rsidR="00AD7E73" w:rsidRDefault="00AD7E73" w:rsidP="00AD7E73">
      <w:pPr>
        <w:rPr>
          <w:rFonts w:ascii="宋体" w:eastAsia="宋体" w:hAnsi="宋体" w:cs="宋体" w:hint="eastAsia"/>
          <w:b/>
          <w:bCs/>
          <w:sz w:val="28"/>
          <w:szCs w:val="28"/>
        </w:rPr>
      </w:pPr>
      <w:r>
        <w:br w:type="page"/>
      </w:r>
      <w:r>
        <w:rPr>
          <w:rFonts w:ascii="宋体" w:eastAsia="宋体" w:hAnsi="宋体" w:cs="宋体" w:hint="eastAsia"/>
          <w:b/>
          <w:bCs/>
          <w:sz w:val="28"/>
          <w:szCs w:val="28"/>
        </w:rPr>
        <w:lastRenderedPageBreak/>
        <w:t xml:space="preserve">附表3 </w:t>
      </w:r>
    </w:p>
    <w:p w:rsidR="00AD7E73" w:rsidRDefault="00AD7E73" w:rsidP="00AD7E73">
      <w:pPr>
        <w:pStyle w:val="1"/>
        <w:spacing w:before="0" w:after="0" w:line="360" w:lineRule="auto"/>
        <w:jc w:val="center"/>
        <w:rPr>
          <w:rFonts w:ascii="文鼎小标宋简" w:eastAsia="文鼎小标宋简" w:hAnsi="文鼎小标宋简" w:cs="文鼎小标宋简" w:hint="eastAsia"/>
          <w:sz w:val="36"/>
          <w:szCs w:val="36"/>
        </w:rPr>
      </w:pPr>
      <w:r>
        <w:rPr>
          <w:rFonts w:ascii="文鼎小标宋简" w:eastAsia="文鼎小标宋简" w:hAnsi="文鼎小标宋简" w:cs="文鼎小标宋简" w:hint="eastAsia"/>
          <w:sz w:val="36"/>
          <w:szCs w:val="36"/>
        </w:rPr>
        <w:t xml:space="preserve"> 民生（应急）保障项目工程表</w:t>
      </w:r>
    </w:p>
    <w:tbl>
      <w:tblPr>
        <w:tblW w:w="0" w:type="auto"/>
        <w:jc w:val="center"/>
        <w:tblLayout w:type="fixed"/>
        <w:tblLook w:val="0000" w:firstRow="0" w:lastRow="0" w:firstColumn="0" w:lastColumn="0" w:noHBand="0" w:noVBand="0"/>
      </w:tblPr>
      <w:tblGrid>
        <w:gridCol w:w="1769"/>
        <w:gridCol w:w="2106"/>
        <w:gridCol w:w="8370"/>
        <w:gridCol w:w="1901"/>
      </w:tblGrid>
      <w:tr w:rsidR="00AD7E73" w:rsidTr="00CE376B">
        <w:trPr>
          <w:trHeight w:val="363"/>
          <w:jc w:val="center"/>
        </w:trPr>
        <w:tc>
          <w:tcPr>
            <w:tcW w:w="1769"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0"/>
              <w:spacing w:line="360" w:lineRule="exact"/>
              <w:jc w:val="center"/>
              <w:rPr>
                <w:rFonts w:eastAsia="楷体_GB2312" w:cs="Times New Roman"/>
                <w:b/>
                <w:bCs/>
                <w:color w:val="000000"/>
                <w:sz w:val="21"/>
              </w:rPr>
            </w:pPr>
            <w:r>
              <w:rPr>
                <w:rFonts w:eastAsia="楷体_GB2312" w:cs="Times New Roman"/>
                <w:b/>
                <w:bCs/>
                <w:color w:val="000000"/>
                <w:sz w:val="21"/>
              </w:rPr>
              <w:t>序号</w:t>
            </w:r>
          </w:p>
        </w:tc>
        <w:tc>
          <w:tcPr>
            <w:tcW w:w="2106"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60" w:lineRule="exact"/>
              <w:jc w:val="center"/>
              <w:rPr>
                <w:rFonts w:eastAsia="楷体_GB2312" w:cs="Times New Roman"/>
                <w:b/>
                <w:bCs/>
                <w:color w:val="000000"/>
                <w:sz w:val="21"/>
              </w:rPr>
            </w:pPr>
            <w:r>
              <w:rPr>
                <w:rFonts w:eastAsia="楷体_GB2312" w:cs="Times New Roman"/>
                <w:b/>
                <w:bCs/>
                <w:color w:val="000000"/>
                <w:sz w:val="21"/>
              </w:rPr>
              <w:t>项目名称</w:t>
            </w:r>
          </w:p>
        </w:tc>
        <w:tc>
          <w:tcPr>
            <w:tcW w:w="8370"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60" w:lineRule="exact"/>
              <w:ind w:firstLine="361"/>
              <w:jc w:val="center"/>
              <w:rPr>
                <w:rFonts w:eastAsia="楷体_GB2312" w:cs="Times New Roman"/>
                <w:b/>
                <w:bCs/>
                <w:color w:val="000000"/>
                <w:sz w:val="21"/>
              </w:rPr>
            </w:pPr>
            <w:r>
              <w:rPr>
                <w:rFonts w:eastAsia="楷体_GB2312" w:cs="Times New Roman"/>
                <w:b/>
                <w:bCs/>
                <w:color w:val="000000"/>
                <w:sz w:val="21"/>
              </w:rPr>
              <w:t>建设内容</w:t>
            </w:r>
          </w:p>
        </w:tc>
        <w:tc>
          <w:tcPr>
            <w:tcW w:w="1901"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0"/>
              <w:spacing w:line="360" w:lineRule="exact"/>
              <w:jc w:val="center"/>
              <w:rPr>
                <w:rFonts w:eastAsia="楷体_GB2312" w:cs="Times New Roman"/>
                <w:b/>
                <w:bCs/>
                <w:color w:val="000000"/>
                <w:sz w:val="21"/>
              </w:rPr>
            </w:pPr>
            <w:r>
              <w:rPr>
                <w:rFonts w:eastAsia="楷体_GB2312" w:cs="Times New Roman"/>
                <w:b/>
                <w:bCs/>
                <w:color w:val="000000"/>
                <w:sz w:val="21"/>
              </w:rPr>
              <w:t>责任单位</w:t>
            </w:r>
          </w:p>
        </w:tc>
      </w:tr>
      <w:tr w:rsidR="00AD7E73" w:rsidTr="00CE376B">
        <w:trPr>
          <w:trHeight w:val="363"/>
          <w:jc w:val="center"/>
        </w:trPr>
        <w:tc>
          <w:tcPr>
            <w:tcW w:w="1769"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1</w:t>
            </w:r>
          </w:p>
        </w:tc>
        <w:tc>
          <w:tcPr>
            <w:tcW w:w="2106"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广东省连平县泥竹塘铁矿尾矿库加固工程</w:t>
            </w:r>
          </w:p>
        </w:tc>
        <w:tc>
          <w:tcPr>
            <w:tcW w:w="8370"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开展尾矿库边坡和台阶的加固建设，对排土场边坡进行覆土绿化，开展废水回用工程及环境综合治理。预期实现：（</w:t>
            </w:r>
            <w:r>
              <w:rPr>
                <w:rFonts w:eastAsia="楷体_GB2312"/>
                <w:color w:val="000000"/>
                <w:kern w:val="0"/>
                <w:sz w:val="21"/>
                <w:szCs w:val="21"/>
              </w:rPr>
              <w:t>1</w:t>
            </w:r>
            <w:r>
              <w:rPr>
                <w:rFonts w:eastAsia="楷体_GB2312"/>
                <w:color w:val="000000"/>
                <w:kern w:val="0"/>
                <w:sz w:val="21"/>
                <w:szCs w:val="21"/>
              </w:rPr>
              <w:t>）尾矿库、排土场稳定运行，矿区裸露的土质坡面得到复绿，总排污口水质达标排放；（</w:t>
            </w:r>
            <w:r>
              <w:rPr>
                <w:rFonts w:eastAsia="楷体_GB2312"/>
                <w:color w:val="000000"/>
                <w:kern w:val="0"/>
                <w:sz w:val="21"/>
                <w:szCs w:val="21"/>
              </w:rPr>
              <w:t>2</w:t>
            </w:r>
            <w:r>
              <w:rPr>
                <w:rFonts w:eastAsia="楷体_GB2312"/>
                <w:color w:val="000000"/>
                <w:kern w:val="0"/>
                <w:sz w:val="21"/>
                <w:szCs w:val="21"/>
              </w:rPr>
              <w:t>）矿区地质环境得到恢复，避免（减少）水土流失，进一步改善矿区生态环境，促进企业持续发展。</w:t>
            </w:r>
          </w:p>
        </w:tc>
        <w:tc>
          <w:tcPr>
            <w:tcW w:w="1901"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widowControl/>
              <w:spacing w:line="360" w:lineRule="exact"/>
              <w:jc w:val="left"/>
              <w:rPr>
                <w:rFonts w:eastAsia="楷体_GB2312"/>
                <w:color w:val="000000"/>
                <w:kern w:val="0"/>
                <w:sz w:val="21"/>
                <w:szCs w:val="21"/>
              </w:rPr>
            </w:pPr>
            <w:r>
              <w:rPr>
                <w:rFonts w:eastAsia="楷体_GB2312"/>
                <w:color w:val="000000"/>
                <w:kern w:val="0"/>
                <w:sz w:val="21"/>
                <w:szCs w:val="21"/>
              </w:rPr>
              <w:t>河源市人民政府</w:t>
            </w:r>
          </w:p>
        </w:tc>
      </w:tr>
      <w:tr w:rsidR="00AD7E73" w:rsidTr="00CE376B">
        <w:trPr>
          <w:trHeight w:val="363"/>
          <w:jc w:val="center"/>
        </w:trPr>
        <w:tc>
          <w:tcPr>
            <w:tcW w:w="1769"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2</w:t>
            </w:r>
          </w:p>
        </w:tc>
        <w:tc>
          <w:tcPr>
            <w:tcW w:w="2106"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凡口铅锌矿尾矿库清污分流及</w:t>
            </w:r>
            <w:r>
              <w:rPr>
                <w:rFonts w:eastAsia="楷体_GB2312"/>
                <w:color w:val="000000"/>
                <w:kern w:val="0"/>
                <w:sz w:val="21"/>
                <w:szCs w:val="21"/>
              </w:rPr>
              <w:t>2</w:t>
            </w:r>
            <w:r>
              <w:rPr>
                <w:rFonts w:eastAsia="楷体_GB2312"/>
                <w:color w:val="000000"/>
                <w:kern w:val="0"/>
                <w:sz w:val="21"/>
                <w:szCs w:val="21"/>
              </w:rPr>
              <w:t>号尾矿库生态恢复工程</w:t>
            </w:r>
          </w:p>
        </w:tc>
        <w:tc>
          <w:tcPr>
            <w:tcW w:w="8370"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采用生物修复为主、化学</w:t>
            </w:r>
            <w:r>
              <w:rPr>
                <w:rFonts w:eastAsia="楷体_GB2312"/>
                <w:color w:val="000000"/>
                <w:kern w:val="0"/>
                <w:sz w:val="21"/>
                <w:szCs w:val="21"/>
              </w:rPr>
              <w:t>/</w:t>
            </w:r>
            <w:r>
              <w:rPr>
                <w:rFonts w:eastAsia="楷体_GB2312"/>
                <w:color w:val="000000"/>
                <w:kern w:val="0"/>
                <w:sz w:val="21"/>
                <w:szCs w:val="21"/>
              </w:rPr>
              <w:t>物理修复为辅的综合治理技术，对已退役的</w:t>
            </w:r>
            <w:r>
              <w:rPr>
                <w:rFonts w:eastAsia="楷体_GB2312"/>
                <w:color w:val="000000"/>
                <w:kern w:val="0"/>
                <w:sz w:val="21"/>
                <w:szCs w:val="21"/>
              </w:rPr>
              <w:t>2</w:t>
            </w:r>
            <w:r>
              <w:rPr>
                <w:rFonts w:eastAsia="楷体_GB2312"/>
                <w:color w:val="000000"/>
                <w:kern w:val="0"/>
                <w:sz w:val="21"/>
                <w:szCs w:val="21"/>
              </w:rPr>
              <w:t>号尾矿库</w:t>
            </w:r>
            <w:r>
              <w:rPr>
                <w:rFonts w:eastAsia="楷体_GB2312"/>
                <w:color w:val="000000"/>
                <w:kern w:val="0"/>
                <w:sz w:val="21"/>
                <w:szCs w:val="21"/>
              </w:rPr>
              <w:t>200</w:t>
            </w:r>
            <w:r>
              <w:rPr>
                <w:rFonts w:eastAsia="楷体_GB2312"/>
                <w:color w:val="000000"/>
                <w:kern w:val="0"/>
                <w:sz w:val="21"/>
                <w:szCs w:val="21"/>
              </w:rPr>
              <w:t>亩库区场地进行生态恢复；建设排水沟和隧洞组合型式清污分流系统。开展尾矿库生态复绿，实现生态恢复植被覆盖度要达</w:t>
            </w:r>
            <w:r>
              <w:rPr>
                <w:rFonts w:eastAsia="楷体_GB2312"/>
                <w:color w:val="000000"/>
                <w:kern w:val="0"/>
                <w:sz w:val="21"/>
                <w:szCs w:val="21"/>
              </w:rPr>
              <w:t>85%</w:t>
            </w:r>
            <w:r>
              <w:rPr>
                <w:rFonts w:eastAsia="楷体_GB2312"/>
                <w:color w:val="000000"/>
                <w:kern w:val="0"/>
                <w:sz w:val="21"/>
                <w:szCs w:val="21"/>
              </w:rPr>
              <w:t>以上，场地土壤</w:t>
            </w:r>
            <w:r>
              <w:rPr>
                <w:rFonts w:eastAsia="楷体_GB2312"/>
                <w:color w:val="000000"/>
                <w:kern w:val="0"/>
                <w:sz w:val="21"/>
                <w:szCs w:val="21"/>
              </w:rPr>
              <w:t>pH</w:t>
            </w:r>
            <w:r>
              <w:rPr>
                <w:rFonts w:eastAsia="楷体_GB2312"/>
                <w:color w:val="000000"/>
                <w:kern w:val="0"/>
                <w:sz w:val="21"/>
                <w:szCs w:val="21"/>
              </w:rPr>
              <w:t>调整到</w:t>
            </w:r>
            <w:r>
              <w:rPr>
                <w:rFonts w:eastAsia="楷体_GB2312"/>
                <w:color w:val="000000"/>
                <w:kern w:val="0"/>
                <w:sz w:val="21"/>
                <w:szCs w:val="21"/>
              </w:rPr>
              <w:t>4-7</w:t>
            </w:r>
            <w:r>
              <w:rPr>
                <w:rFonts w:eastAsia="楷体_GB2312"/>
                <w:color w:val="000000"/>
                <w:kern w:val="0"/>
                <w:sz w:val="21"/>
                <w:szCs w:val="21"/>
              </w:rPr>
              <w:t>，重金属有效态含量下降</w:t>
            </w:r>
            <w:r>
              <w:rPr>
                <w:rFonts w:eastAsia="楷体_GB2312"/>
                <w:color w:val="000000"/>
                <w:kern w:val="0"/>
                <w:sz w:val="21"/>
                <w:szCs w:val="21"/>
              </w:rPr>
              <w:t>50%</w:t>
            </w:r>
            <w:r>
              <w:rPr>
                <w:rFonts w:eastAsia="楷体_GB2312"/>
                <w:color w:val="000000"/>
                <w:kern w:val="0"/>
                <w:sz w:val="21"/>
                <w:szCs w:val="21"/>
              </w:rPr>
              <w:t>左右；开展</w:t>
            </w:r>
            <w:r>
              <w:rPr>
                <w:rFonts w:eastAsia="楷体_GB2312"/>
                <w:color w:val="000000"/>
                <w:kern w:val="0"/>
                <w:sz w:val="21"/>
                <w:szCs w:val="21"/>
              </w:rPr>
              <w:t>7932</w:t>
            </w:r>
            <w:r>
              <w:rPr>
                <w:rFonts w:eastAsia="楷体_GB2312"/>
                <w:color w:val="000000"/>
                <w:kern w:val="0"/>
                <w:sz w:val="21"/>
                <w:szCs w:val="21"/>
              </w:rPr>
              <w:t>米排水沟、</w:t>
            </w:r>
            <w:r>
              <w:rPr>
                <w:rFonts w:eastAsia="楷体_GB2312"/>
                <w:color w:val="000000"/>
                <w:kern w:val="0"/>
                <w:sz w:val="21"/>
                <w:szCs w:val="21"/>
              </w:rPr>
              <w:t>352.4</w:t>
            </w:r>
            <w:r>
              <w:rPr>
                <w:rFonts w:eastAsia="楷体_GB2312"/>
                <w:color w:val="000000"/>
                <w:kern w:val="0"/>
                <w:sz w:val="21"/>
                <w:szCs w:val="21"/>
              </w:rPr>
              <w:t>米排水隧洞以及</w:t>
            </w:r>
            <w:r>
              <w:rPr>
                <w:rFonts w:eastAsia="楷体_GB2312"/>
                <w:color w:val="000000"/>
                <w:kern w:val="0"/>
                <w:sz w:val="21"/>
                <w:szCs w:val="21"/>
              </w:rPr>
              <w:t>1</w:t>
            </w:r>
            <w:r>
              <w:rPr>
                <w:rFonts w:eastAsia="楷体_GB2312"/>
                <w:color w:val="000000"/>
                <w:kern w:val="0"/>
                <w:sz w:val="21"/>
                <w:szCs w:val="21"/>
              </w:rPr>
              <w:t>个粘土坝等清污分流工程建设，实现尾矿库清污分流。</w:t>
            </w:r>
          </w:p>
        </w:tc>
        <w:tc>
          <w:tcPr>
            <w:tcW w:w="1901"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widowControl/>
              <w:spacing w:line="360" w:lineRule="exact"/>
              <w:jc w:val="left"/>
              <w:rPr>
                <w:rFonts w:eastAsia="楷体_GB2312"/>
                <w:color w:val="000000"/>
                <w:kern w:val="0"/>
                <w:sz w:val="21"/>
                <w:szCs w:val="21"/>
              </w:rPr>
            </w:pPr>
            <w:r>
              <w:rPr>
                <w:rFonts w:eastAsia="楷体_GB2312"/>
                <w:color w:val="000000"/>
                <w:kern w:val="0"/>
                <w:sz w:val="21"/>
                <w:szCs w:val="21"/>
              </w:rPr>
              <w:t>深圳市中金岭南有色金属股份有限公司、韶关市人民政府</w:t>
            </w:r>
          </w:p>
        </w:tc>
      </w:tr>
      <w:tr w:rsidR="00AD7E73" w:rsidTr="00CE376B">
        <w:trPr>
          <w:trHeight w:val="363"/>
          <w:jc w:val="center"/>
        </w:trPr>
        <w:tc>
          <w:tcPr>
            <w:tcW w:w="1769"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3</w:t>
            </w:r>
          </w:p>
        </w:tc>
        <w:tc>
          <w:tcPr>
            <w:tcW w:w="2106"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大宝山凡洞尾矿库污水处理厂及库内防渗工程</w:t>
            </w:r>
          </w:p>
        </w:tc>
        <w:tc>
          <w:tcPr>
            <w:tcW w:w="8370"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开展凡洞尾矿库配套污水处理厂设计、进行尾矿库内防渗等环保设施。污水处理厂设计规模</w:t>
            </w:r>
            <w:r>
              <w:rPr>
                <w:rFonts w:eastAsia="楷体_GB2312"/>
                <w:color w:val="000000"/>
                <w:kern w:val="0"/>
                <w:sz w:val="21"/>
                <w:szCs w:val="21"/>
              </w:rPr>
              <w:t>3.44</w:t>
            </w:r>
            <w:r>
              <w:rPr>
                <w:rFonts w:eastAsia="楷体_GB2312"/>
                <w:color w:val="000000"/>
                <w:kern w:val="0"/>
                <w:sz w:val="21"/>
                <w:szCs w:val="21"/>
              </w:rPr>
              <w:t>万立方</w:t>
            </w:r>
            <w:r>
              <w:rPr>
                <w:rFonts w:eastAsia="楷体_GB2312"/>
                <w:color w:val="000000"/>
                <w:kern w:val="0"/>
                <w:sz w:val="21"/>
                <w:szCs w:val="21"/>
              </w:rPr>
              <w:t>/d</w:t>
            </w:r>
            <w:r>
              <w:rPr>
                <w:rFonts w:eastAsia="楷体_GB2312"/>
                <w:color w:val="000000"/>
                <w:kern w:val="0"/>
                <w:sz w:val="21"/>
                <w:szCs w:val="21"/>
              </w:rPr>
              <w:t>，建设防渗工程，其中帷幕注浆孔长度</w:t>
            </w:r>
            <w:r>
              <w:rPr>
                <w:rFonts w:eastAsia="楷体_GB2312"/>
                <w:color w:val="000000"/>
                <w:kern w:val="0"/>
                <w:sz w:val="21"/>
                <w:szCs w:val="21"/>
              </w:rPr>
              <w:t>18420</w:t>
            </w:r>
            <w:r>
              <w:rPr>
                <w:rFonts w:eastAsia="楷体_GB2312"/>
                <w:color w:val="000000"/>
                <w:kern w:val="0"/>
                <w:sz w:val="21"/>
                <w:szCs w:val="21"/>
              </w:rPr>
              <w:t>米，帷幕钻孔注浆量</w:t>
            </w:r>
            <w:r>
              <w:rPr>
                <w:rFonts w:eastAsia="楷体_GB2312"/>
                <w:color w:val="000000"/>
                <w:kern w:val="0"/>
                <w:sz w:val="21"/>
                <w:szCs w:val="21"/>
              </w:rPr>
              <w:t>18420</w:t>
            </w:r>
            <w:r>
              <w:rPr>
                <w:rFonts w:eastAsia="楷体_GB2312"/>
                <w:color w:val="000000"/>
                <w:kern w:val="0"/>
                <w:sz w:val="21"/>
                <w:szCs w:val="21"/>
              </w:rPr>
              <w:t>立方米，混凝土地坪</w:t>
            </w:r>
            <w:r>
              <w:rPr>
                <w:rFonts w:eastAsia="楷体_GB2312"/>
                <w:color w:val="000000"/>
                <w:kern w:val="0"/>
                <w:sz w:val="21"/>
                <w:szCs w:val="21"/>
              </w:rPr>
              <w:t>1870</w:t>
            </w:r>
            <w:r>
              <w:rPr>
                <w:rFonts w:eastAsia="楷体_GB2312"/>
                <w:color w:val="000000"/>
                <w:kern w:val="0"/>
                <w:sz w:val="21"/>
                <w:szCs w:val="21"/>
              </w:rPr>
              <w:t>立方米。</w:t>
            </w:r>
          </w:p>
        </w:tc>
        <w:tc>
          <w:tcPr>
            <w:tcW w:w="1901"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widowControl/>
              <w:spacing w:line="360" w:lineRule="exact"/>
              <w:jc w:val="left"/>
              <w:rPr>
                <w:rFonts w:eastAsia="楷体_GB2312"/>
                <w:color w:val="000000"/>
                <w:kern w:val="0"/>
                <w:sz w:val="21"/>
                <w:szCs w:val="21"/>
              </w:rPr>
            </w:pPr>
            <w:r>
              <w:rPr>
                <w:rFonts w:eastAsia="楷体_GB2312"/>
                <w:color w:val="000000"/>
                <w:kern w:val="0"/>
                <w:sz w:val="21"/>
                <w:szCs w:val="21"/>
              </w:rPr>
              <w:t>大宝山矿业公司、韶关市人民政府</w:t>
            </w:r>
          </w:p>
        </w:tc>
      </w:tr>
      <w:tr w:rsidR="00AD7E73" w:rsidTr="00CE376B">
        <w:trPr>
          <w:trHeight w:val="363"/>
          <w:jc w:val="center"/>
        </w:trPr>
        <w:tc>
          <w:tcPr>
            <w:tcW w:w="1769"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4</w:t>
            </w:r>
          </w:p>
        </w:tc>
        <w:tc>
          <w:tcPr>
            <w:tcW w:w="2106"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乐昌武江河水源置换工程</w:t>
            </w:r>
          </w:p>
        </w:tc>
        <w:tc>
          <w:tcPr>
            <w:tcW w:w="8370"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开展乐城（张溪水和龙山水）取水工程、黄圃取水工程和坪石取水工程建设，建设供水水源专用水库，配套相应的取水管网，提高自来水的供水安全，确保水质，规避上游来水对水质污染的隐患。</w:t>
            </w:r>
          </w:p>
        </w:tc>
        <w:tc>
          <w:tcPr>
            <w:tcW w:w="1901"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widowControl/>
              <w:spacing w:line="360" w:lineRule="exact"/>
              <w:jc w:val="left"/>
              <w:rPr>
                <w:rFonts w:eastAsia="楷体_GB2312"/>
                <w:color w:val="000000"/>
                <w:kern w:val="0"/>
                <w:sz w:val="21"/>
                <w:szCs w:val="21"/>
              </w:rPr>
            </w:pPr>
            <w:r>
              <w:rPr>
                <w:rFonts w:eastAsia="楷体_GB2312"/>
                <w:color w:val="000000"/>
                <w:kern w:val="0"/>
                <w:sz w:val="21"/>
                <w:szCs w:val="21"/>
              </w:rPr>
              <w:t>韶关市人民政府</w:t>
            </w:r>
          </w:p>
        </w:tc>
      </w:tr>
    </w:tbl>
    <w:p w:rsidR="00AD7E73" w:rsidRDefault="00AD7E73" w:rsidP="00AD7E73">
      <w:pPr>
        <w:rPr>
          <w:rFonts w:ascii="宋体" w:eastAsia="宋体" w:hAnsi="宋体" w:cs="宋体" w:hint="eastAsia"/>
          <w:b/>
          <w:bCs/>
          <w:sz w:val="28"/>
          <w:szCs w:val="28"/>
        </w:rPr>
      </w:pPr>
      <w:r>
        <w:br w:type="page"/>
      </w:r>
      <w:r>
        <w:rPr>
          <w:rFonts w:ascii="宋体" w:eastAsia="宋体" w:hAnsi="宋体" w:cs="宋体" w:hint="eastAsia"/>
          <w:b/>
          <w:bCs/>
          <w:sz w:val="28"/>
          <w:szCs w:val="28"/>
        </w:rPr>
        <w:lastRenderedPageBreak/>
        <w:t xml:space="preserve">附表4 </w:t>
      </w:r>
    </w:p>
    <w:p w:rsidR="00AD7E73" w:rsidRDefault="00AD7E73" w:rsidP="00AD7E73">
      <w:pPr>
        <w:jc w:val="center"/>
        <w:rPr>
          <w:rFonts w:ascii="文鼎小标宋简" w:eastAsia="文鼎小标宋简" w:hAnsi="文鼎小标宋简" w:cs="文鼎小标宋简" w:hint="eastAsia"/>
          <w:b/>
          <w:sz w:val="36"/>
          <w:szCs w:val="36"/>
        </w:rPr>
      </w:pPr>
      <w:r>
        <w:rPr>
          <w:rFonts w:ascii="文鼎小标宋简" w:eastAsia="文鼎小标宋简" w:hAnsi="文鼎小标宋简" w:cs="文鼎小标宋简" w:hint="eastAsia"/>
          <w:b/>
          <w:sz w:val="36"/>
          <w:szCs w:val="36"/>
        </w:rPr>
        <w:t>解决历史遗留污染问题项目工程表</w:t>
      </w:r>
    </w:p>
    <w:tbl>
      <w:tblPr>
        <w:tblW w:w="0" w:type="auto"/>
        <w:jc w:val="center"/>
        <w:tblLayout w:type="fixed"/>
        <w:tblLook w:val="0000" w:firstRow="0" w:lastRow="0" w:firstColumn="0" w:lastColumn="0" w:noHBand="0" w:noVBand="0"/>
      </w:tblPr>
      <w:tblGrid>
        <w:gridCol w:w="905"/>
        <w:gridCol w:w="3090"/>
        <w:gridCol w:w="8363"/>
        <w:gridCol w:w="1902"/>
      </w:tblGrid>
      <w:tr w:rsidR="00AD7E73" w:rsidTr="00CE376B">
        <w:trPr>
          <w:trHeight w:val="306"/>
          <w:tblHeader/>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0"/>
              <w:spacing w:line="360" w:lineRule="exact"/>
              <w:jc w:val="center"/>
              <w:rPr>
                <w:rFonts w:eastAsia="楷体_GB2312" w:cs="Times New Roman"/>
                <w:b/>
                <w:bCs/>
                <w:color w:val="000000"/>
                <w:sz w:val="21"/>
              </w:rPr>
            </w:pPr>
            <w:r>
              <w:rPr>
                <w:rFonts w:eastAsia="楷体_GB2312" w:cs="Times New Roman"/>
                <w:b/>
                <w:bCs/>
                <w:color w:val="000000"/>
                <w:sz w:val="21"/>
              </w:rPr>
              <w:t>序号</w:t>
            </w:r>
          </w:p>
        </w:tc>
        <w:tc>
          <w:tcPr>
            <w:tcW w:w="3090"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60" w:lineRule="exact"/>
              <w:jc w:val="center"/>
              <w:rPr>
                <w:rFonts w:eastAsia="楷体_GB2312" w:cs="Times New Roman"/>
                <w:b/>
                <w:bCs/>
                <w:color w:val="000000"/>
                <w:sz w:val="21"/>
              </w:rPr>
            </w:pPr>
            <w:r>
              <w:rPr>
                <w:rFonts w:eastAsia="楷体_GB2312" w:cs="Times New Roman"/>
                <w:b/>
                <w:bCs/>
                <w:color w:val="000000"/>
                <w:sz w:val="21"/>
              </w:rPr>
              <w:t>项目名称</w:t>
            </w:r>
          </w:p>
        </w:tc>
        <w:tc>
          <w:tcPr>
            <w:tcW w:w="8363"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60" w:lineRule="exact"/>
              <w:ind w:firstLine="361"/>
              <w:jc w:val="center"/>
              <w:rPr>
                <w:rFonts w:eastAsia="楷体_GB2312" w:cs="Times New Roman"/>
                <w:b/>
                <w:bCs/>
                <w:color w:val="000000"/>
                <w:sz w:val="21"/>
              </w:rPr>
            </w:pPr>
            <w:r>
              <w:rPr>
                <w:rFonts w:eastAsia="楷体_GB2312" w:cs="Times New Roman"/>
                <w:b/>
                <w:bCs/>
                <w:color w:val="000000"/>
                <w:sz w:val="21"/>
              </w:rPr>
              <w:t>建设内容</w:t>
            </w:r>
          </w:p>
        </w:tc>
        <w:tc>
          <w:tcPr>
            <w:tcW w:w="1902"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0"/>
              <w:spacing w:line="360" w:lineRule="exact"/>
              <w:jc w:val="center"/>
              <w:rPr>
                <w:rFonts w:eastAsia="楷体_GB2312" w:cs="Times New Roman"/>
                <w:b/>
                <w:bCs/>
                <w:color w:val="000000"/>
                <w:sz w:val="21"/>
              </w:rPr>
            </w:pPr>
            <w:r>
              <w:rPr>
                <w:rFonts w:eastAsia="楷体_GB2312" w:cs="Times New Roman"/>
                <w:b/>
                <w:bCs/>
                <w:color w:val="000000"/>
                <w:sz w:val="21"/>
              </w:rPr>
              <w:t>责任单位</w:t>
            </w:r>
          </w:p>
        </w:tc>
      </w:tr>
      <w:tr w:rsidR="00AD7E73" w:rsidTr="00CE376B">
        <w:trPr>
          <w:trHeight w:val="306"/>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1</w:t>
            </w:r>
          </w:p>
        </w:tc>
        <w:tc>
          <w:tcPr>
            <w:tcW w:w="3090"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大宝山矿区及周边地区环境综合整治工程</w:t>
            </w:r>
          </w:p>
        </w:tc>
        <w:tc>
          <w:tcPr>
            <w:tcW w:w="8363"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全面贯彻落实《大宝山矿区及周边地区环境综合整治工作方案》，推进李屋拦泥库腾出有效调节库容工程、凡洞村新尾矿库及配套污水处理厂工程、横石水清淤工程等建设，逐步改善区域环境质量。</w:t>
            </w:r>
          </w:p>
        </w:tc>
        <w:tc>
          <w:tcPr>
            <w:tcW w:w="1902"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大宝山矿业公司、韶关市人民政府</w:t>
            </w:r>
          </w:p>
        </w:tc>
      </w:tr>
      <w:tr w:rsidR="00AD7E73" w:rsidTr="00CE376B">
        <w:trPr>
          <w:trHeight w:val="306"/>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2</w:t>
            </w:r>
          </w:p>
        </w:tc>
        <w:tc>
          <w:tcPr>
            <w:tcW w:w="3090"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董塘镇五一村高宅村重金属污染农田土壤治理修复工程</w:t>
            </w:r>
          </w:p>
        </w:tc>
        <w:tc>
          <w:tcPr>
            <w:tcW w:w="8363" w:type="dxa"/>
            <w:tcBorders>
              <w:top w:val="single" w:sz="4" w:space="0" w:color="000000"/>
              <w:left w:val="nil"/>
              <w:bottom w:val="single" w:sz="4" w:space="0" w:color="000000"/>
              <w:right w:val="single" w:sz="4" w:space="0" w:color="000000"/>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选择董塘镇凡口矿区周边五一村和高宅村有代表性的受污染农田，综合采取农艺调控、种植结构调整、化学钝化、植物修复等措施，开展农田土壤的治理与修复工程与示范。建成广东重金属污染农田土壤修复示范基地</w:t>
            </w:r>
            <w:r>
              <w:rPr>
                <w:rFonts w:eastAsia="楷体_GB2312"/>
                <w:color w:val="000000"/>
                <w:kern w:val="0"/>
                <w:sz w:val="21"/>
                <w:szCs w:val="21"/>
              </w:rPr>
              <w:t>1</w:t>
            </w:r>
            <w:r>
              <w:rPr>
                <w:rFonts w:eastAsia="楷体_GB2312"/>
                <w:color w:val="000000"/>
                <w:kern w:val="0"/>
                <w:sz w:val="21"/>
                <w:szCs w:val="21"/>
              </w:rPr>
              <w:t>处，修复治理受污染农田</w:t>
            </w:r>
            <w:r>
              <w:rPr>
                <w:rFonts w:eastAsia="楷体_GB2312"/>
                <w:color w:val="000000"/>
                <w:kern w:val="0"/>
                <w:sz w:val="21"/>
                <w:szCs w:val="21"/>
              </w:rPr>
              <w:t>500</w:t>
            </w:r>
            <w:r>
              <w:rPr>
                <w:rFonts w:eastAsia="楷体_GB2312"/>
                <w:color w:val="000000"/>
                <w:kern w:val="0"/>
                <w:sz w:val="21"/>
                <w:szCs w:val="21"/>
              </w:rPr>
              <w:t>亩，实现轻度污染土壤农产品重金属达标率不低于</w:t>
            </w:r>
            <w:r>
              <w:rPr>
                <w:rFonts w:eastAsia="楷体_GB2312"/>
                <w:color w:val="000000"/>
                <w:kern w:val="0"/>
                <w:sz w:val="21"/>
                <w:szCs w:val="21"/>
              </w:rPr>
              <w:t>90%</w:t>
            </w:r>
            <w:r>
              <w:rPr>
                <w:rFonts w:eastAsia="楷体_GB2312"/>
                <w:color w:val="000000"/>
                <w:kern w:val="0"/>
                <w:sz w:val="21"/>
                <w:szCs w:val="21"/>
              </w:rPr>
              <w:t>；中度污染土壤</w:t>
            </w:r>
            <w:r>
              <w:rPr>
                <w:rFonts w:eastAsia="楷体_GB2312"/>
                <w:color w:val="000000"/>
                <w:kern w:val="0"/>
                <w:sz w:val="21"/>
                <w:szCs w:val="21"/>
              </w:rPr>
              <w:t>Cd</w:t>
            </w:r>
            <w:r>
              <w:rPr>
                <w:rFonts w:eastAsia="楷体_GB2312"/>
                <w:color w:val="000000"/>
                <w:kern w:val="0"/>
                <w:sz w:val="21"/>
                <w:szCs w:val="21"/>
              </w:rPr>
              <w:t>、</w:t>
            </w:r>
            <w:r>
              <w:rPr>
                <w:rFonts w:eastAsia="楷体_GB2312"/>
                <w:color w:val="000000"/>
                <w:kern w:val="0"/>
                <w:sz w:val="21"/>
                <w:szCs w:val="21"/>
              </w:rPr>
              <w:t>Pb</w:t>
            </w:r>
            <w:r>
              <w:rPr>
                <w:rFonts w:eastAsia="楷体_GB2312"/>
                <w:color w:val="000000"/>
                <w:kern w:val="0"/>
                <w:sz w:val="21"/>
                <w:szCs w:val="21"/>
              </w:rPr>
              <w:t>有效态含量下降</w:t>
            </w:r>
            <w:r>
              <w:rPr>
                <w:rFonts w:eastAsia="楷体_GB2312"/>
                <w:color w:val="000000"/>
                <w:kern w:val="0"/>
                <w:sz w:val="21"/>
                <w:szCs w:val="21"/>
              </w:rPr>
              <w:t>40%</w:t>
            </w:r>
            <w:r>
              <w:rPr>
                <w:rFonts w:eastAsia="楷体_GB2312"/>
                <w:color w:val="000000"/>
                <w:kern w:val="0"/>
                <w:sz w:val="21"/>
                <w:szCs w:val="21"/>
              </w:rPr>
              <w:t>以上。</w:t>
            </w:r>
          </w:p>
        </w:tc>
        <w:tc>
          <w:tcPr>
            <w:tcW w:w="1902"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韶关市人民政府</w:t>
            </w:r>
          </w:p>
        </w:tc>
      </w:tr>
      <w:tr w:rsidR="00AD7E73" w:rsidTr="00CE376B">
        <w:trPr>
          <w:trHeight w:val="306"/>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3</w:t>
            </w:r>
          </w:p>
        </w:tc>
        <w:tc>
          <w:tcPr>
            <w:tcW w:w="3090" w:type="dxa"/>
            <w:tcBorders>
              <w:top w:val="single" w:sz="4" w:space="0" w:color="000000"/>
              <w:left w:val="nil"/>
              <w:bottom w:val="single" w:sz="4" w:space="0" w:color="auto"/>
              <w:right w:val="single" w:sz="4" w:space="0" w:color="000000"/>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韶关市翁源县铁龙林场重金属污染土壤修复示范工程</w:t>
            </w:r>
          </w:p>
        </w:tc>
        <w:tc>
          <w:tcPr>
            <w:tcW w:w="8363" w:type="dxa"/>
            <w:tcBorders>
              <w:top w:val="single" w:sz="4" w:space="0" w:color="000000"/>
              <w:left w:val="nil"/>
              <w:bottom w:val="single" w:sz="4" w:space="0" w:color="auto"/>
              <w:right w:val="single" w:sz="4" w:space="0" w:color="000000"/>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选择翁源县铁龙林场重金属污染农田</w:t>
            </w:r>
            <w:r>
              <w:rPr>
                <w:rFonts w:eastAsia="楷体_GB2312"/>
                <w:color w:val="000000"/>
                <w:kern w:val="0"/>
                <w:sz w:val="21"/>
                <w:szCs w:val="21"/>
              </w:rPr>
              <w:t>500</w:t>
            </w:r>
            <w:r>
              <w:rPr>
                <w:rFonts w:eastAsia="楷体_GB2312"/>
                <w:color w:val="000000"/>
                <w:kern w:val="0"/>
                <w:sz w:val="21"/>
                <w:szCs w:val="21"/>
              </w:rPr>
              <w:t>亩，采用</w:t>
            </w:r>
            <w:r>
              <w:rPr>
                <w:rFonts w:eastAsia="楷体_GB2312"/>
                <w:color w:val="000000"/>
                <w:kern w:val="0"/>
                <w:sz w:val="21"/>
                <w:szCs w:val="21"/>
              </w:rPr>
              <w:t>“</w:t>
            </w:r>
            <w:r>
              <w:rPr>
                <w:rFonts w:eastAsia="楷体_GB2312"/>
                <w:color w:val="000000"/>
                <w:kern w:val="0"/>
                <w:sz w:val="21"/>
                <w:szCs w:val="21"/>
              </w:rPr>
              <w:t>客土</w:t>
            </w:r>
            <w:r>
              <w:rPr>
                <w:rFonts w:eastAsia="楷体_GB2312"/>
                <w:color w:val="000000"/>
                <w:kern w:val="0"/>
                <w:sz w:val="21"/>
                <w:szCs w:val="21"/>
              </w:rPr>
              <w:t>-</w:t>
            </w:r>
            <w:r>
              <w:rPr>
                <w:rFonts w:eastAsia="楷体_GB2312"/>
                <w:color w:val="000000"/>
                <w:kern w:val="0"/>
                <w:sz w:val="21"/>
                <w:szCs w:val="21"/>
              </w:rPr>
              <w:t>固化稳定化技术、超富集植物</w:t>
            </w:r>
            <w:r>
              <w:rPr>
                <w:rFonts w:eastAsia="楷体_GB2312"/>
                <w:color w:val="000000"/>
                <w:kern w:val="0"/>
                <w:sz w:val="21"/>
                <w:szCs w:val="21"/>
              </w:rPr>
              <w:t>-</w:t>
            </w:r>
            <w:r>
              <w:rPr>
                <w:rFonts w:eastAsia="楷体_GB2312"/>
                <w:color w:val="000000"/>
                <w:kern w:val="0"/>
                <w:sz w:val="21"/>
                <w:szCs w:val="21"/>
              </w:rPr>
              <w:t>低吸收作物联用</w:t>
            </w:r>
            <w:r>
              <w:rPr>
                <w:rFonts w:eastAsia="楷体_GB2312"/>
                <w:color w:val="000000"/>
                <w:kern w:val="0"/>
                <w:sz w:val="21"/>
                <w:szCs w:val="21"/>
              </w:rPr>
              <w:t>”</w:t>
            </w:r>
            <w:r>
              <w:rPr>
                <w:rFonts w:eastAsia="楷体_GB2312"/>
                <w:color w:val="000000"/>
                <w:kern w:val="0"/>
                <w:sz w:val="21"/>
                <w:szCs w:val="21"/>
              </w:rPr>
              <w:t>的技术，使治理区域内的土壤重金属污染程度明显下降。实现重度污染区土壤重金属有效态含量降低</w:t>
            </w:r>
            <w:r>
              <w:rPr>
                <w:rFonts w:eastAsia="楷体_GB2312"/>
                <w:color w:val="000000"/>
                <w:kern w:val="0"/>
                <w:sz w:val="21"/>
                <w:szCs w:val="21"/>
              </w:rPr>
              <w:t>40%</w:t>
            </w:r>
            <w:r>
              <w:rPr>
                <w:rFonts w:eastAsia="楷体_GB2312"/>
                <w:color w:val="000000"/>
                <w:kern w:val="0"/>
                <w:sz w:val="21"/>
                <w:szCs w:val="21"/>
              </w:rPr>
              <w:t>以上，中轻度污染区土壤农作物的重金属含量达标率不低于</w:t>
            </w:r>
            <w:r>
              <w:rPr>
                <w:rFonts w:eastAsia="楷体_GB2312"/>
                <w:color w:val="000000"/>
                <w:kern w:val="0"/>
                <w:sz w:val="21"/>
                <w:szCs w:val="21"/>
              </w:rPr>
              <w:t>90%</w:t>
            </w:r>
            <w:r>
              <w:rPr>
                <w:rFonts w:eastAsia="楷体_GB2312"/>
                <w:color w:val="000000"/>
                <w:kern w:val="0"/>
                <w:sz w:val="21"/>
                <w:szCs w:val="21"/>
              </w:rPr>
              <w:t>。</w:t>
            </w:r>
          </w:p>
        </w:tc>
        <w:tc>
          <w:tcPr>
            <w:tcW w:w="1902" w:type="dxa"/>
            <w:tcBorders>
              <w:top w:val="single" w:sz="4" w:space="0" w:color="000000"/>
              <w:left w:val="single" w:sz="4" w:space="0" w:color="000000"/>
              <w:bottom w:val="single" w:sz="4" w:space="0" w:color="auto"/>
              <w:right w:val="single" w:sz="4" w:space="0" w:color="000000"/>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韶关市人民政府</w:t>
            </w:r>
          </w:p>
        </w:tc>
      </w:tr>
      <w:tr w:rsidR="00AD7E73" w:rsidTr="00CE376B">
        <w:trPr>
          <w:trHeight w:val="1580"/>
          <w:jc w:val="center"/>
        </w:trPr>
        <w:tc>
          <w:tcPr>
            <w:tcW w:w="905" w:type="dxa"/>
            <w:tcBorders>
              <w:top w:val="single" w:sz="4" w:space="0" w:color="000000"/>
              <w:left w:val="single" w:sz="4" w:space="0" w:color="000000"/>
              <w:bottom w:val="single" w:sz="4" w:space="0" w:color="000000"/>
              <w:right w:val="single" w:sz="4" w:space="0" w:color="auto"/>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4</w:t>
            </w:r>
          </w:p>
        </w:tc>
        <w:tc>
          <w:tcPr>
            <w:tcW w:w="3090"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清远龙塘镇环境综合整治工程</w:t>
            </w:r>
          </w:p>
        </w:tc>
        <w:tc>
          <w:tcPr>
            <w:tcW w:w="8363"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全面实施《清远市电子废弃物拆解重金属污染治理项目实施方案》，全部拆解散户入园，实行清洁生产，园区污水处理达标排放；对</w:t>
            </w:r>
            <w:r>
              <w:rPr>
                <w:rFonts w:eastAsia="楷体_GB2312"/>
                <w:color w:val="000000"/>
                <w:kern w:val="0"/>
                <w:sz w:val="21"/>
                <w:szCs w:val="21"/>
              </w:rPr>
              <w:t>5</w:t>
            </w:r>
            <w:r>
              <w:rPr>
                <w:rFonts w:eastAsia="楷体_GB2312"/>
                <w:color w:val="000000"/>
                <w:kern w:val="0"/>
                <w:sz w:val="21"/>
                <w:szCs w:val="21"/>
              </w:rPr>
              <w:t>个历史遗留固废堆点（约</w:t>
            </w:r>
            <w:r>
              <w:rPr>
                <w:rFonts w:eastAsia="楷体_GB2312"/>
                <w:color w:val="000000"/>
                <w:kern w:val="0"/>
                <w:sz w:val="21"/>
                <w:szCs w:val="21"/>
              </w:rPr>
              <w:t>9.9</w:t>
            </w:r>
            <w:r>
              <w:rPr>
                <w:rFonts w:eastAsia="楷体_GB2312"/>
                <w:color w:val="000000"/>
                <w:kern w:val="0"/>
                <w:sz w:val="21"/>
                <w:szCs w:val="21"/>
              </w:rPr>
              <w:t>万吨）开展环境风险评估后，进行工程阻隔，阻断或减缓其环境污染扩散。着力推进龙塘河和长冲河的综合整治及遗留固废堆存点受污染土壤的修复与治理。</w:t>
            </w:r>
          </w:p>
        </w:tc>
        <w:tc>
          <w:tcPr>
            <w:tcW w:w="1902"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清远市人民政府</w:t>
            </w:r>
          </w:p>
        </w:tc>
      </w:tr>
      <w:tr w:rsidR="00AD7E73" w:rsidTr="00CE376B">
        <w:trPr>
          <w:trHeight w:val="1690"/>
          <w:jc w:val="center"/>
        </w:trPr>
        <w:tc>
          <w:tcPr>
            <w:tcW w:w="905" w:type="dxa"/>
            <w:tcBorders>
              <w:top w:val="single" w:sz="4" w:space="0" w:color="000000"/>
              <w:left w:val="single" w:sz="4" w:space="0" w:color="000000"/>
              <w:bottom w:val="single" w:sz="4" w:space="0" w:color="000000"/>
              <w:right w:val="single" w:sz="4" w:space="0" w:color="auto"/>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lastRenderedPageBreak/>
              <w:t>5</w:t>
            </w:r>
          </w:p>
        </w:tc>
        <w:tc>
          <w:tcPr>
            <w:tcW w:w="3090"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汕头贵屿镇环境综合整治工程</w:t>
            </w:r>
          </w:p>
        </w:tc>
        <w:tc>
          <w:tcPr>
            <w:tcW w:w="8363"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继续推进《汕头市贵屿地区电子废物污染综合整治方案》的实施，继续保持对违法拆解企业的严打高压态势，整合关闭违法拆解单位；推进循环经济产业园区建设以及配套的污染治理设施建设，实现废旧电子电器拆解加工产业规范化、规模化、专业化、无害化；着力推进北港河的环境综合治理以及周边受污染农田和拆解场地污染土壤的修复治理。</w:t>
            </w:r>
          </w:p>
        </w:tc>
        <w:tc>
          <w:tcPr>
            <w:tcW w:w="1902"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汕头市人民政府</w:t>
            </w:r>
          </w:p>
        </w:tc>
      </w:tr>
      <w:tr w:rsidR="00AD7E73" w:rsidTr="00CE376B">
        <w:trPr>
          <w:trHeight w:val="306"/>
          <w:jc w:val="center"/>
        </w:trPr>
        <w:tc>
          <w:tcPr>
            <w:tcW w:w="905" w:type="dxa"/>
            <w:tcBorders>
              <w:top w:val="single" w:sz="4" w:space="0" w:color="000000"/>
              <w:left w:val="single" w:sz="4" w:space="0" w:color="000000"/>
              <w:bottom w:val="single" w:sz="4" w:space="0" w:color="000000"/>
              <w:right w:val="single" w:sz="4" w:space="0" w:color="auto"/>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6</w:t>
            </w:r>
          </w:p>
        </w:tc>
        <w:tc>
          <w:tcPr>
            <w:tcW w:w="3090"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莲花山钨矿环境综合整治及生态修复工程</w:t>
            </w:r>
          </w:p>
        </w:tc>
        <w:tc>
          <w:tcPr>
            <w:tcW w:w="8363"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落实莲花山钨矿环境综合整治规划，开展周边环境整治及受污染土壤生态修复。</w:t>
            </w:r>
          </w:p>
        </w:tc>
        <w:tc>
          <w:tcPr>
            <w:tcW w:w="1902"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汕头市人民政府</w:t>
            </w:r>
          </w:p>
        </w:tc>
      </w:tr>
      <w:tr w:rsidR="00AD7E73" w:rsidTr="00CE376B">
        <w:trPr>
          <w:trHeight w:val="306"/>
          <w:jc w:val="center"/>
        </w:trPr>
        <w:tc>
          <w:tcPr>
            <w:tcW w:w="905" w:type="dxa"/>
            <w:tcBorders>
              <w:top w:val="single" w:sz="4" w:space="0" w:color="000000"/>
              <w:left w:val="single" w:sz="4" w:space="0" w:color="000000"/>
              <w:bottom w:val="single" w:sz="4" w:space="0" w:color="000000"/>
              <w:right w:val="single" w:sz="4" w:space="0" w:color="auto"/>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7</w:t>
            </w:r>
          </w:p>
        </w:tc>
        <w:tc>
          <w:tcPr>
            <w:tcW w:w="3090"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兴宁市宁塘历史废弃矿山改造治理工程</w:t>
            </w:r>
          </w:p>
        </w:tc>
        <w:tc>
          <w:tcPr>
            <w:tcW w:w="8363"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对兴宁市宁塘历史废弃矿山改造进行治理，开展矿山复绿及周边受污染土壤修复治理。</w:t>
            </w:r>
          </w:p>
        </w:tc>
        <w:tc>
          <w:tcPr>
            <w:tcW w:w="1902"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梅州市人民政府</w:t>
            </w:r>
          </w:p>
        </w:tc>
      </w:tr>
      <w:tr w:rsidR="00AD7E73" w:rsidTr="00CE376B">
        <w:trPr>
          <w:trHeight w:val="306"/>
          <w:jc w:val="center"/>
        </w:trPr>
        <w:tc>
          <w:tcPr>
            <w:tcW w:w="905" w:type="dxa"/>
            <w:tcBorders>
              <w:top w:val="single" w:sz="4" w:space="0" w:color="000000"/>
              <w:left w:val="single" w:sz="4" w:space="0" w:color="000000"/>
              <w:bottom w:val="single" w:sz="4" w:space="0" w:color="000000"/>
              <w:right w:val="single" w:sz="4" w:space="0" w:color="auto"/>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8</w:t>
            </w:r>
          </w:p>
        </w:tc>
        <w:tc>
          <w:tcPr>
            <w:tcW w:w="3090"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梅州市历史废弃矿山改造治理工程</w:t>
            </w:r>
          </w:p>
        </w:tc>
        <w:tc>
          <w:tcPr>
            <w:tcW w:w="8363"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开展历史废弃矿山改造治理，开展矿山复绿及周边受污染土壤修复治理</w:t>
            </w:r>
          </w:p>
        </w:tc>
        <w:tc>
          <w:tcPr>
            <w:tcW w:w="1902"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梅州市人民政府</w:t>
            </w:r>
          </w:p>
        </w:tc>
      </w:tr>
      <w:tr w:rsidR="00AD7E73" w:rsidTr="00CE376B">
        <w:trPr>
          <w:trHeight w:val="306"/>
          <w:jc w:val="center"/>
        </w:trPr>
        <w:tc>
          <w:tcPr>
            <w:tcW w:w="905" w:type="dxa"/>
            <w:tcBorders>
              <w:top w:val="single" w:sz="4" w:space="0" w:color="000000"/>
              <w:left w:val="single" w:sz="4" w:space="0" w:color="000000"/>
              <w:bottom w:val="single" w:sz="4" w:space="0" w:color="000000"/>
              <w:right w:val="single" w:sz="4" w:space="0" w:color="auto"/>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9</w:t>
            </w:r>
          </w:p>
        </w:tc>
        <w:tc>
          <w:tcPr>
            <w:tcW w:w="3090"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阳春市硫铁矿尾矿库治理工程</w:t>
            </w:r>
          </w:p>
        </w:tc>
        <w:tc>
          <w:tcPr>
            <w:tcW w:w="8363"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对阳春市硫铁矿尾矿库开展渗漏水治理工程、矿区土地复垦工程及矿区周边受污染农田生态修复治理工程。</w:t>
            </w:r>
          </w:p>
        </w:tc>
        <w:tc>
          <w:tcPr>
            <w:tcW w:w="1902"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阳江市人民政府</w:t>
            </w:r>
          </w:p>
        </w:tc>
      </w:tr>
      <w:tr w:rsidR="00AD7E73" w:rsidTr="00CE376B">
        <w:trPr>
          <w:trHeight w:val="306"/>
          <w:jc w:val="center"/>
        </w:trPr>
        <w:tc>
          <w:tcPr>
            <w:tcW w:w="905" w:type="dxa"/>
            <w:tcBorders>
              <w:top w:val="single" w:sz="4" w:space="0" w:color="000000"/>
              <w:left w:val="single" w:sz="4" w:space="0" w:color="000000"/>
              <w:bottom w:val="single" w:sz="4" w:space="0" w:color="000000"/>
              <w:right w:val="single" w:sz="4" w:space="0" w:color="auto"/>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10</w:t>
            </w:r>
          </w:p>
        </w:tc>
        <w:tc>
          <w:tcPr>
            <w:tcW w:w="3090"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阳春市石菉铜矿尾矿库综合利用工程</w:t>
            </w:r>
          </w:p>
        </w:tc>
        <w:tc>
          <w:tcPr>
            <w:tcW w:w="8363"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由阳春金同工贸有限责任公司承担石菉铜矿尾矿库进行环境综合整治，完成尾矿库加固及复绿工程，开展周边受污染土壤生态修复。</w:t>
            </w:r>
          </w:p>
        </w:tc>
        <w:tc>
          <w:tcPr>
            <w:tcW w:w="1902"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阳春金同工贸有限责任公司、阳江市人民政府</w:t>
            </w:r>
          </w:p>
        </w:tc>
      </w:tr>
      <w:tr w:rsidR="00AD7E73" w:rsidTr="00CE376B">
        <w:trPr>
          <w:trHeight w:val="306"/>
          <w:jc w:val="center"/>
        </w:trPr>
        <w:tc>
          <w:tcPr>
            <w:tcW w:w="905" w:type="dxa"/>
            <w:tcBorders>
              <w:top w:val="single" w:sz="4" w:space="0" w:color="000000"/>
              <w:left w:val="single" w:sz="4" w:space="0" w:color="000000"/>
              <w:bottom w:val="single" w:sz="4" w:space="0" w:color="000000"/>
              <w:right w:val="single" w:sz="4" w:space="0" w:color="auto"/>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11</w:t>
            </w:r>
          </w:p>
        </w:tc>
        <w:tc>
          <w:tcPr>
            <w:tcW w:w="3090"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紫金县矿山环境整治工程</w:t>
            </w:r>
          </w:p>
        </w:tc>
        <w:tc>
          <w:tcPr>
            <w:tcW w:w="8363"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开展水墩、凤安、清溪等镇矿山环境整治，矿区恢复、复绿等工作，实现：（</w:t>
            </w:r>
            <w:r>
              <w:rPr>
                <w:rFonts w:eastAsia="楷体_GB2312"/>
                <w:color w:val="000000"/>
                <w:kern w:val="0"/>
                <w:sz w:val="21"/>
                <w:szCs w:val="21"/>
              </w:rPr>
              <w:t>1</w:t>
            </w:r>
            <w:r>
              <w:rPr>
                <w:rFonts w:eastAsia="楷体_GB2312"/>
                <w:color w:val="000000"/>
                <w:kern w:val="0"/>
                <w:sz w:val="21"/>
                <w:szCs w:val="21"/>
              </w:rPr>
              <w:t>）尾矿库、排土场稳定运行，矿区裸露的土质坡面得到复绿，总排污口水质达标排放；（</w:t>
            </w:r>
            <w:r>
              <w:rPr>
                <w:rFonts w:eastAsia="楷体_GB2312"/>
                <w:color w:val="000000"/>
                <w:kern w:val="0"/>
                <w:sz w:val="21"/>
                <w:szCs w:val="21"/>
              </w:rPr>
              <w:t>2</w:t>
            </w:r>
            <w:r>
              <w:rPr>
                <w:rFonts w:eastAsia="楷体_GB2312"/>
                <w:color w:val="000000"/>
                <w:kern w:val="0"/>
                <w:sz w:val="21"/>
                <w:szCs w:val="21"/>
              </w:rPr>
              <w:t>）矿区地质环境得到恢复，避免（减少）水土流失。</w:t>
            </w:r>
          </w:p>
        </w:tc>
        <w:tc>
          <w:tcPr>
            <w:tcW w:w="1902"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河源市人民政府</w:t>
            </w:r>
          </w:p>
        </w:tc>
      </w:tr>
      <w:tr w:rsidR="00AD7E73" w:rsidTr="00CE376B">
        <w:trPr>
          <w:trHeight w:val="306"/>
          <w:jc w:val="center"/>
        </w:trPr>
        <w:tc>
          <w:tcPr>
            <w:tcW w:w="905" w:type="dxa"/>
            <w:tcBorders>
              <w:top w:val="single" w:sz="4" w:space="0" w:color="000000"/>
              <w:left w:val="single" w:sz="4" w:space="0" w:color="000000"/>
              <w:bottom w:val="single" w:sz="4" w:space="0" w:color="000000"/>
              <w:right w:val="single" w:sz="4" w:space="0" w:color="auto"/>
            </w:tcBorders>
            <w:vAlign w:val="center"/>
          </w:tcPr>
          <w:p w:rsidR="00AD7E73" w:rsidRDefault="00AD7E73" w:rsidP="00CE376B">
            <w:pPr>
              <w:pStyle w:val="p15"/>
              <w:spacing w:line="360" w:lineRule="exact"/>
              <w:ind w:firstLine="0"/>
              <w:jc w:val="center"/>
              <w:rPr>
                <w:rFonts w:eastAsia="楷体_GB2312" w:cs="Times New Roman"/>
                <w:b/>
                <w:bCs/>
                <w:color w:val="000000"/>
                <w:sz w:val="21"/>
              </w:rPr>
            </w:pPr>
            <w:r>
              <w:rPr>
                <w:rFonts w:eastAsia="楷体_GB2312" w:cs="Times New Roman"/>
                <w:b/>
                <w:bCs/>
                <w:color w:val="000000"/>
                <w:sz w:val="21"/>
              </w:rPr>
              <w:t>12</w:t>
            </w:r>
          </w:p>
        </w:tc>
        <w:tc>
          <w:tcPr>
            <w:tcW w:w="3090"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jc w:val="center"/>
              <w:rPr>
                <w:rFonts w:eastAsia="楷体_GB2312"/>
                <w:color w:val="000000"/>
                <w:kern w:val="0"/>
                <w:sz w:val="21"/>
                <w:szCs w:val="21"/>
              </w:rPr>
            </w:pPr>
            <w:r>
              <w:rPr>
                <w:rFonts w:eastAsia="楷体_GB2312"/>
                <w:color w:val="000000"/>
                <w:kern w:val="0"/>
                <w:sz w:val="21"/>
                <w:szCs w:val="21"/>
              </w:rPr>
              <w:t>龙川县流田河、小金河流域稀土开采区环境综合整治项目</w:t>
            </w:r>
          </w:p>
        </w:tc>
        <w:tc>
          <w:tcPr>
            <w:tcW w:w="8363"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textAlignment w:val="center"/>
              <w:rPr>
                <w:rFonts w:eastAsia="楷体_GB2312"/>
                <w:color w:val="000000"/>
                <w:kern w:val="0"/>
                <w:sz w:val="21"/>
                <w:szCs w:val="21"/>
              </w:rPr>
            </w:pPr>
            <w:r>
              <w:rPr>
                <w:rFonts w:eastAsia="楷体_GB2312"/>
                <w:color w:val="000000"/>
                <w:kern w:val="0"/>
                <w:sz w:val="21"/>
                <w:szCs w:val="21"/>
              </w:rPr>
              <w:t>拟对上坪镇小金河流域和上坪、麻布岗镇流田河流域进行土壤、生态环境修复和水环境治理，预期</w:t>
            </w:r>
            <w:r>
              <w:rPr>
                <w:rFonts w:eastAsia="楷体_GB2312"/>
                <w:color w:val="000000"/>
                <w:kern w:val="0"/>
                <w:sz w:val="21"/>
                <w:szCs w:val="21"/>
              </w:rPr>
              <w:t>2020</w:t>
            </w:r>
            <w:r>
              <w:rPr>
                <w:rFonts w:eastAsia="楷体_GB2312"/>
                <w:color w:val="000000"/>
                <w:kern w:val="0"/>
                <w:sz w:val="21"/>
                <w:szCs w:val="21"/>
              </w:rPr>
              <w:t>年底尾矿库、排土场稳定运行，总排污口水质达标排放；矿区裸露的土质坡面得到复绿，避免（减少）水土流失。</w:t>
            </w:r>
          </w:p>
        </w:tc>
        <w:tc>
          <w:tcPr>
            <w:tcW w:w="1902" w:type="dxa"/>
            <w:tcBorders>
              <w:top w:val="single" w:sz="4" w:space="0" w:color="auto"/>
              <w:left w:val="single" w:sz="4" w:space="0" w:color="auto"/>
              <w:bottom w:val="single" w:sz="4" w:space="0" w:color="auto"/>
              <w:right w:val="single" w:sz="4" w:space="0" w:color="auto"/>
            </w:tcBorders>
            <w:vAlign w:val="center"/>
          </w:tcPr>
          <w:p w:rsidR="00AD7E73" w:rsidRDefault="00AD7E73" w:rsidP="00CE376B">
            <w:pPr>
              <w:widowControl/>
              <w:spacing w:line="360" w:lineRule="exact"/>
              <w:rPr>
                <w:rFonts w:eastAsia="楷体_GB2312"/>
                <w:color w:val="000000"/>
                <w:kern w:val="0"/>
                <w:sz w:val="21"/>
                <w:szCs w:val="21"/>
              </w:rPr>
            </w:pPr>
            <w:r>
              <w:rPr>
                <w:rFonts w:eastAsia="楷体_GB2312"/>
                <w:color w:val="000000"/>
                <w:kern w:val="0"/>
                <w:sz w:val="21"/>
                <w:szCs w:val="21"/>
              </w:rPr>
              <w:t>龙川县人民政府</w:t>
            </w:r>
          </w:p>
        </w:tc>
      </w:tr>
    </w:tbl>
    <w:p w:rsidR="00AD7E73" w:rsidRDefault="00AD7E73" w:rsidP="00AD7E73">
      <w:pPr>
        <w:rPr>
          <w:rFonts w:ascii="宋体" w:eastAsia="宋体" w:hAnsi="宋体" w:cs="宋体" w:hint="eastAsia"/>
          <w:b/>
          <w:bCs/>
          <w:sz w:val="28"/>
          <w:szCs w:val="28"/>
        </w:rPr>
      </w:pPr>
      <w:r>
        <w:br w:type="page"/>
      </w:r>
      <w:r>
        <w:rPr>
          <w:rFonts w:ascii="宋体" w:eastAsia="宋体" w:hAnsi="宋体" w:cs="宋体" w:hint="eastAsia"/>
          <w:b/>
          <w:bCs/>
          <w:sz w:val="28"/>
          <w:szCs w:val="28"/>
        </w:rPr>
        <w:lastRenderedPageBreak/>
        <w:t xml:space="preserve">附表5 </w:t>
      </w:r>
    </w:p>
    <w:p w:rsidR="00AD7E73" w:rsidRDefault="00AD7E73" w:rsidP="00AD7E73">
      <w:pPr>
        <w:jc w:val="center"/>
        <w:rPr>
          <w:rFonts w:ascii="文鼎小标宋简" w:eastAsia="文鼎小标宋简" w:hAnsi="文鼎小标宋简" w:cs="文鼎小标宋简" w:hint="eastAsia"/>
          <w:b/>
          <w:sz w:val="36"/>
          <w:szCs w:val="36"/>
        </w:rPr>
      </w:pPr>
      <w:r>
        <w:rPr>
          <w:rFonts w:ascii="文鼎小标宋简" w:eastAsia="文鼎小标宋简" w:hAnsi="文鼎小标宋简" w:cs="文鼎小标宋简" w:hint="eastAsia"/>
          <w:b/>
          <w:sz w:val="36"/>
          <w:szCs w:val="36"/>
        </w:rPr>
        <w:t>重金属环境监管能力建设项目工程表</w:t>
      </w:r>
    </w:p>
    <w:tbl>
      <w:tblPr>
        <w:tblW w:w="0" w:type="auto"/>
        <w:jc w:val="center"/>
        <w:tblLayout w:type="fixed"/>
        <w:tblLook w:val="0000" w:firstRow="0" w:lastRow="0" w:firstColumn="0" w:lastColumn="0" w:noHBand="0" w:noVBand="0"/>
      </w:tblPr>
      <w:tblGrid>
        <w:gridCol w:w="1008"/>
        <w:gridCol w:w="2907"/>
        <w:gridCol w:w="8595"/>
        <w:gridCol w:w="1685"/>
      </w:tblGrid>
      <w:tr w:rsidR="00AD7E73" w:rsidTr="00CE376B">
        <w:trPr>
          <w:trHeight w:val="363"/>
          <w:tblHeader/>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0"/>
              <w:spacing w:line="320" w:lineRule="exact"/>
              <w:jc w:val="center"/>
              <w:rPr>
                <w:rFonts w:eastAsia="楷体_GB2312" w:cs="Times New Roman"/>
                <w:b/>
                <w:bCs/>
                <w:color w:val="000000"/>
                <w:sz w:val="21"/>
              </w:rPr>
            </w:pPr>
            <w:r>
              <w:rPr>
                <w:rFonts w:eastAsia="楷体_GB2312" w:cs="Times New Roman"/>
                <w:b/>
                <w:bCs/>
                <w:color w:val="000000"/>
                <w:sz w:val="21"/>
              </w:rPr>
              <w:t>序号</w:t>
            </w:r>
          </w:p>
        </w:tc>
        <w:tc>
          <w:tcPr>
            <w:tcW w:w="2907"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jc w:val="center"/>
              <w:rPr>
                <w:rFonts w:eastAsia="楷体_GB2312" w:cs="Times New Roman"/>
                <w:b/>
                <w:bCs/>
                <w:color w:val="000000"/>
                <w:sz w:val="21"/>
              </w:rPr>
            </w:pPr>
            <w:r>
              <w:rPr>
                <w:rFonts w:eastAsia="楷体_GB2312" w:cs="Times New Roman"/>
                <w:b/>
                <w:bCs/>
                <w:color w:val="000000"/>
                <w:sz w:val="21"/>
              </w:rPr>
              <w:t>项目名称</w:t>
            </w:r>
          </w:p>
        </w:tc>
        <w:tc>
          <w:tcPr>
            <w:tcW w:w="8595"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ind w:firstLine="361"/>
              <w:jc w:val="center"/>
              <w:rPr>
                <w:rFonts w:eastAsia="楷体_GB2312" w:cs="Times New Roman"/>
                <w:b/>
                <w:bCs/>
                <w:color w:val="000000"/>
                <w:sz w:val="21"/>
              </w:rPr>
            </w:pPr>
            <w:r>
              <w:rPr>
                <w:rFonts w:eastAsia="楷体_GB2312" w:cs="Times New Roman"/>
                <w:b/>
                <w:bCs/>
                <w:color w:val="000000"/>
                <w:sz w:val="21"/>
              </w:rPr>
              <w:t>建设内容</w:t>
            </w:r>
          </w:p>
        </w:tc>
        <w:tc>
          <w:tcPr>
            <w:tcW w:w="1685" w:type="dxa"/>
            <w:tcBorders>
              <w:top w:val="single" w:sz="4" w:space="0" w:color="000000"/>
              <w:left w:val="nil"/>
              <w:right w:val="single" w:sz="4" w:space="0" w:color="000000"/>
            </w:tcBorders>
            <w:vAlign w:val="center"/>
          </w:tcPr>
          <w:p w:rsidR="00AD7E73" w:rsidRDefault="00AD7E73" w:rsidP="00CE376B">
            <w:pPr>
              <w:pStyle w:val="p0"/>
              <w:spacing w:line="320" w:lineRule="exact"/>
              <w:jc w:val="center"/>
              <w:rPr>
                <w:rFonts w:eastAsia="楷体_GB2312" w:cs="Times New Roman"/>
                <w:b/>
                <w:bCs/>
                <w:color w:val="000000"/>
                <w:sz w:val="21"/>
              </w:rPr>
            </w:pPr>
            <w:r>
              <w:rPr>
                <w:rFonts w:eastAsia="楷体_GB2312" w:cs="Times New Roman"/>
                <w:b/>
                <w:bCs/>
                <w:color w:val="000000"/>
                <w:sz w:val="21"/>
              </w:rPr>
              <w:t>责任单位</w:t>
            </w:r>
          </w:p>
        </w:tc>
      </w:tr>
      <w:tr w:rsidR="00AD7E73" w:rsidTr="00CE376B">
        <w:trPr>
          <w:trHeight w:val="363"/>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15"/>
              <w:spacing w:line="320" w:lineRule="exact"/>
              <w:ind w:firstLine="0"/>
              <w:jc w:val="center"/>
              <w:rPr>
                <w:rFonts w:eastAsia="楷体_GB2312" w:cs="Times New Roman"/>
                <w:b/>
                <w:bCs/>
                <w:color w:val="000000"/>
                <w:sz w:val="21"/>
              </w:rPr>
            </w:pPr>
            <w:r>
              <w:rPr>
                <w:rFonts w:eastAsia="楷体_GB2312" w:cs="Times New Roman"/>
                <w:b/>
                <w:bCs/>
                <w:color w:val="000000"/>
                <w:sz w:val="21"/>
              </w:rPr>
              <w:t>1</w:t>
            </w:r>
          </w:p>
        </w:tc>
        <w:tc>
          <w:tcPr>
            <w:tcW w:w="2907"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jc w:val="center"/>
              <w:rPr>
                <w:rFonts w:eastAsia="楷体_GB2312" w:cs="Times New Roman"/>
                <w:color w:val="000000"/>
                <w:sz w:val="21"/>
              </w:rPr>
            </w:pPr>
            <w:r>
              <w:rPr>
                <w:rFonts w:eastAsia="楷体_GB2312" w:cs="Times New Roman"/>
                <w:color w:val="000000"/>
                <w:sz w:val="21"/>
              </w:rPr>
              <w:t>重金属环境监测能力建设工程</w:t>
            </w:r>
          </w:p>
        </w:tc>
        <w:tc>
          <w:tcPr>
            <w:tcW w:w="8595"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rPr>
                <w:rFonts w:eastAsia="楷体_GB2312" w:cs="Times New Roman"/>
                <w:color w:val="000000"/>
                <w:sz w:val="21"/>
              </w:rPr>
            </w:pPr>
            <w:r>
              <w:rPr>
                <w:rFonts w:eastAsia="楷体_GB2312" w:cs="Times New Roman"/>
                <w:color w:val="000000"/>
                <w:sz w:val="21"/>
              </w:rPr>
              <w:t>深入推进市、县级环境监测站标准化建设，强化废气和土壤重金属监测设备的配置和技术队伍建设，拓展地表水水质、土壤和大气的重金属监测项目，</w:t>
            </w:r>
            <w:r>
              <w:rPr>
                <w:rFonts w:eastAsia="楷体_GB2312" w:cs="Times New Roman"/>
                <w:color w:val="000000"/>
                <w:sz w:val="21"/>
              </w:rPr>
              <w:t>2018</w:t>
            </w:r>
            <w:r>
              <w:rPr>
                <w:rFonts w:eastAsia="楷体_GB2312" w:cs="Times New Roman"/>
                <w:color w:val="000000"/>
                <w:sz w:val="21"/>
              </w:rPr>
              <w:t>年底前，珠海、中山、江门、梅州、潮州、揭阳、云浮、湛江等</w:t>
            </w:r>
            <w:r>
              <w:rPr>
                <w:rFonts w:eastAsia="楷体_GB2312" w:cs="Times New Roman"/>
                <w:color w:val="000000"/>
                <w:sz w:val="21"/>
              </w:rPr>
              <w:t>8</w:t>
            </w:r>
            <w:r>
              <w:rPr>
                <w:rFonts w:eastAsia="楷体_GB2312" w:cs="Times New Roman"/>
                <w:color w:val="000000"/>
                <w:sz w:val="21"/>
              </w:rPr>
              <w:t>个</w:t>
            </w:r>
            <w:r>
              <w:rPr>
                <w:rFonts w:eastAsia="楷体_GB2312" w:cs="Times New Roman" w:hint="eastAsia"/>
                <w:color w:val="000000"/>
                <w:sz w:val="21"/>
              </w:rPr>
              <w:t>市级</w:t>
            </w:r>
            <w:r>
              <w:rPr>
                <w:rFonts w:eastAsia="楷体_GB2312" w:cs="Times New Roman"/>
                <w:color w:val="000000"/>
                <w:sz w:val="21"/>
              </w:rPr>
              <w:t>站实现地表水饮用水源重金属检测项目的全覆盖，云浮、阳江、揭阳等</w:t>
            </w:r>
            <w:r>
              <w:rPr>
                <w:rFonts w:eastAsia="楷体_GB2312" w:cs="Times New Roman"/>
                <w:color w:val="000000"/>
                <w:sz w:val="21"/>
              </w:rPr>
              <w:t>3</w:t>
            </w:r>
            <w:r>
              <w:rPr>
                <w:rFonts w:eastAsia="楷体_GB2312" w:cs="Times New Roman"/>
                <w:color w:val="000000"/>
                <w:sz w:val="21"/>
              </w:rPr>
              <w:t>个市级站基本实现大气重点重金属监测能力，东莞、江门、梅州、汕尾、潮州等</w:t>
            </w:r>
            <w:r>
              <w:rPr>
                <w:rFonts w:eastAsia="楷体_GB2312" w:cs="Times New Roman"/>
                <w:color w:val="000000"/>
                <w:sz w:val="21"/>
              </w:rPr>
              <w:t>5</w:t>
            </w:r>
            <w:r>
              <w:rPr>
                <w:rFonts w:eastAsia="楷体_GB2312" w:cs="Times New Roman"/>
                <w:color w:val="000000"/>
                <w:sz w:val="21"/>
              </w:rPr>
              <w:t>个市</w:t>
            </w:r>
            <w:r>
              <w:rPr>
                <w:rFonts w:eastAsia="楷体_GB2312" w:cs="Times New Roman" w:hint="eastAsia"/>
                <w:color w:val="000000"/>
                <w:sz w:val="21"/>
              </w:rPr>
              <w:t>级</w:t>
            </w:r>
            <w:r>
              <w:rPr>
                <w:rFonts w:eastAsia="楷体_GB2312" w:cs="Times New Roman"/>
                <w:color w:val="000000"/>
                <w:sz w:val="21"/>
              </w:rPr>
              <w:t>站具备气体中铅、汞、镉、铬和砷等主要重金属监测能力，云浮市环境监测站具备土壤重金属监测能力；到</w:t>
            </w:r>
            <w:r>
              <w:rPr>
                <w:rFonts w:eastAsia="楷体_GB2312" w:cs="Times New Roman"/>
                <w:color w:val="000000"/>
                <w:sz w:val="21"/>
              </w:rPr>
              <w:t>2020</w:t>
            </w:r>
            <w:r>
              <w:rPr>
                <w:rFonts w:eastAsia="楷体_GB2312" w:cs="Times New Roman"/>
                <w:color w:val="000000"/>
                <w:sz w:val="21"/>
              </w:rPr>
              <w:t>年，市级站基本实现土壤重金属监测项目的全覆盖，重金属污染重点防控区的</w:t>
            </w:r>
            <w:r>
              <w:rPr>
                <w:rFonts w:eastAsia="楷体_GB2312" w:cs="Times New Roman"/>
                <w:color w:val="000000"/>
                <w:sz w:val="21"/>
              </w:rPr>
              <w:t>31</w:t>
            </w:r>
            <w:r>
              <w:rPr>
                <w:rFonts w:eastAsia="楷体_GB2312" w:cs="Times New Roman"/>
                <w:color w:val="000000"/>
                <w:sz w:val="21"/>
              </w:rPr>
              <w:t>个区县县级环境监测站基本实现铊、锑、汞、铅等重金属监测指标的全覆盖。升级改造重金属污染重点防控区现有水质自动监测站，风险防控的需求，适当增加铊、锑等</w:t>
            </w:r>
            <w:r>
              <w:rPr>
                <w:rFonts w:eastAsia="楷体_GB2312" w:cs="Times New Roman" w:hint="eastAsia"/>
                <w:color w:val="000000"/>
                <w:sz w:val="21"/>
              </w:rPr>
              <w:t>重金属</w:t>
            </w:r>
            <w:r>
              <w:rPr>
                <w:rFonts w:eastAsia="楷体_GB2312" w:cs="Times New Roman"/>
                <w:color w:val="000000"/>
                <w:sz w:val="21"/>
              </w:rPr>
              <w:t>项目的监测；在重金属污染重点防控区重点企业周边敏感地区建设空气自动监测站，开展铅、汞等</w:t>
            </w:r>
            <w:r>
              <w:rPr>
                <w:rFonts w:eastAsia="楷体_GB2312" w:cs="Times New Roman" w:hint="eastAsia"/>
                <w:color w:val="000000"/>
                <w:sz w:val="21"/>
              </w:rPr>
              <w:t>重金属</w:t>
            </w:r>
            <w:r>
              <w:rPr>
                <w:rFonts w:eastAsia="楷体_GB2312" w:cs="Times New Roman"/>
                <w:color w:val="000000"/>
                <w:sz w:val="21"/>
              </w:rPr>
              <w:t>污染物指标自动监测。</w:t>
            </w:r>
          </w:p>
        </w:tc>
        <w:tc>
          <w:tcPr>
            <w:tcW w:w="1685"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rPr>
                <w:rFonts w:eastAsia="楷体_GB2312" w:cs="Times New Roman"/>
                <w:color w:val="000000"/>
                <w:sz w:val="21"/>
              </w:rPr>
            </w:pPr>
            <w:r>
              <w:rPr>
                <w:rFonts w:eastAsia="楷体_GB2312" w:cs="Times New Roman"/>
                <w:color w:val="000000"/>
                <w:sz w:val="21"/>
              </w:rPr>
              <w:t>各相关地市及区县人民政府</w:t>
            </w:r>
          </w:p>
        </w:tc>
      </w:tr>
      <w:tr w:rsidR="00AD7E73" w:rsidTr="00CE376B">
        <w:trPr>
          <w:trHeight w:val="363"/>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15"/>
              <w:spacing w:line="320" w:lineRule="exact"/>
              <w:ind w:firstLine="0"/>
              <w:jc w:val="center"/>
              <w:rPr>
                <w:rFonts w:eastAsia="楷体_GB2312" w:cs="Times New Roman"/>
                <w:b/>
                <w:bCs/>
                <w:color w:val="000000"/>
                <w:sz w:val="21"/>
              </w:rPr>
            </w:pPr>
            <w:r>
              <w:rPr>
                <w:rFonts w:eastAsia="楷体_GB2312" w:cs="Times New Roman"/>
                <w:b/>
                <w:bCs/>
                <w:color w:val="000000"/>
                <w:sz w:val="21"/>
              </w:rPr>
              <w:t>2</w:t>
            </w:r>
          </w:p>
        </w:tc>
        <w:tc>
          <w:tcPr>
            <w:tcW w:w="2907"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jc w:val="center"/>
              <w:rPr>
                <w:rFonts w:eastAsia="楷体_GB2312" w:cs="Times New Roman"/>
                <w:color w:val="000000"/>
                <w:sz w:val="21"/>
              </w:rPr>
            </w:pPr>
            <w:r>
              <w:rPr>
                <w:rFonts w:eastAsia="楷体_GB2312" w:cs="Times New Roman"/>
                <w:color w:val="000000"/>
                <w:sz w:val="21"/>
              </w:rPr>
              <w:t>环境预警监测体系建设工程</w:t>
            </w:r>
          </w:p>
        </w:tc>
        <w:tc>
          <w:tcPr>
            <w:tcW w:w="8595"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rPr>
                <w:rFonts w:eastAsia="楷体_GB2312" w:cs="Times New Roman"/>
                <w:color w:val="000000"/>
                <w:sz w:val="21"/>
              </w:rPr>
            </w:pPr>
            <w:r>
              <w:rPr>
                <w:rFonts w:eastAsia="楷体_GB2312" w:cs="Times New Roman"/>
                <w:color w:val="000000"/>
                <w:sz w:val="21"/>
              </w:rPr>
              <w:t>推进韶关、汕头等重金属重点防控地区大气重金属污染监控预警体系建设，建设相应的空气自动监测站点、预警预报平台和应急辅助决策支持系统平台等；完善北江流域预警监测体系建设，加快推进东江、西江、韩江、九州江、鹤地水库、高州水库等主要大江大河与大型湖库预警体系建设，配套建设相应的水质自动监测站，开发应急监测系统软件，全面提高重金属环境污染预警能力。</w:t>
            </w:r>
          </w:p>
        </w:tc>
        <w:tc>
          <w:tcPr>
            <w:tcW w:w="1685"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rPr>
                <w:rFonts w:eastAsia="楷体_GB2312" w:cs="Times New Roman"/>
                <w:color w:val="000000"/>
                <w:sz w:val="21"/>
              </w:rPr>
            </w:pPr>
            <w:r>
              <w:rPr>
                <w:rFonts w:eastAsia="楷体_GB2312" w:cs="Times New Roman"/>
                <w:color w:val="000000"/>
                <w:sz w:val="21"/>
              </w:rPr>
              <w:t>各相关地市及区县人民政府</w:t>
            </w:r>
          </w:p>
        </w:tc>
      </w:tr>
      <w:tr w:rsidR="00AD7E73" w:rsidTr="00CE376B">
        <w:trPr>
          <w:trHeight w:val="363"/>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15"/>
              <w:spacing w:line="320" w:lineRule="exact"/>
              <w:ind w:firstLine="0"/>
              <w:jc w:val="center"/>
              <w:rPr>
                <w:rFonts w:eastAsia="楷体_GB2312" w:cs="Times New Roman"/>
                <w:b/>
                <w:bCs/>
                <w:color w:val="000000"/>
                <w:sz w:val="21"/>
              </w:rPr>
            </w:pPr>
            <w:r>
              <w:rPr>
                <w:rFonts w:eastAsia="楷体_GB2312" w:cs="Times New Roman"/>
                <w:b/>
                <w:bCs/>
                <w:color w:val="000000"/>
                <w:sz w:val="21"/>
              </w:rPr>
              <w:t>3</w:t>
            </w:r>
          </w:p>
        </w:tc>
        <w:tc>
          <w:tcPr>
            <w:tcW w:w="2907"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jc w:val="center"/>
              <w:rPr>
                <w:rFonts w:eastAsia="楷体_GB2312" w:cs="Times New Roman"/>
                <w:color w:val="000000"/>
                <w:sz w:val="21"/>
              </w:rPr>
            </w:pPr>
            <w:r>
              <w:rPr>
                <w:rFonts w:eastAsia="楷体_GB2312" w:cs="Times New Roman"/>
                <w:color w:val="000000"/>
                <w:sz w:val="21"/>
              </w:rPr>
              <w:t>重金属污染环境执法监督能力建设项目</w:t>
            </w:r>
          </w:p>
        </w:tc>
        <w:tc>
          <w:tcPr>
            <w:tcW w:w="8595"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rPr>
                <w:rFonts w:eastAsia="楷体_GB2312" w:cs="Times New Roman"/>
                <w:color w:val="000000"/>
                <w:sz w:val="21"/>
              </w:rPr>
            </w:pPr>
            <w:r>
              <w:rPr>
                <w:rFonts w:eastAsia="楷体_GB2312" w:cs="Times New Roman"/>
                <w:color w:val="000000"/>
                <w:sz w:val="21"/>
              </w:rPr>
              <w:t>全面推进全省各级环境监察机构标准化建设，强化执法装备和人员队伍建设，其中重金属污染防控区的市级站配置无人机，</w:t>
            </w:r>
            <w:r>
              <w:rPr>
                <w:rFonts w:eastAsia="楷体_GB2312" w:cs="Times New Roman" w:hint="eastAsia"/>
                <w:color w:val="000000"/>
                <w:sz w:val="21"/>
              </w:rPr>
              <w:t>到</w:t>
            </w:r>
            <w:r>
              <w:rPr>
                <w:rFonts w:eastAsia="楷体_GB2312" w:cs="Times New Roman"/>
                <w:color w:val="000000"/>
                <w:sz w:val="21"/>
              </w:rPr>
              <w:t>2020</w:t>
            </w:r>
            <w:r>
              <w:rPr>
                <w:rFonts w:eastAsia="楷体_GB2312" w:cs="Times New Roman"/>
                <w:color w:val="000000"/>
                <w:sz w:val="21"/>
              </w:rPr>
              <w:t>年，各级环境监察机构全部达到标准化建设要求。全面推进重金属重点监控企业重金属排放废水、废气在线监系统的建设，开展特征重金属污染物自动监测。</w:t>
            </w:r>
          </w:p>
        </w:tc>
        <w:tc>
          <w:tcPr>
            <w:tcW w:w="1685"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rPr>
                <w:rFonts w:eastAsia="楷体_GB2312" w:cs="Times New Roman"/>
                <w:color w:val="000000"/>
                <w:sz w:val="21"/>
              </w:rPr>
            </w:pPr>
            <w:r>
              <w:rPr>
                <w:rFonts w:eastAsia="楷体_GB2312" w:cs="Times New Roman"/>
                <w:color w:val="000000"/>
                <w:sz w:val="21"/>
              </w:rPr>
              <w:t>各相关地市及区县人民政府</w:t>
            </w:r>
          </w:p>
        </w:tc>
      </w:tr>
      <w:tr w:rsidR="00AD7E73" w:rsidTr="00CE376B">
        <w:trPr>
          <w:trHeight w:val="363"/>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D7E73" w:rsidRDefault="00AD7E73" w:rsidP="00CE376B">
            <w:pPr>
              <w:pStyle w:val="p15"/>
              <w:spacing w:line="320" w:lineRule="exact"/>
              <w:ind w:firstLine="0"/>
              <w:jc w:val="center"/>
              <w:rPr>
                <w:rFonts w:eastAsia="楷体_GB2312" w:cs="Times New Roman"/>
                <w:b/>
                <w:bCs/>
                <w:color w:val="000000"/>
                <w:sz w:val="21"/>
              </w:rPr>
            </w:pPr>
            <w:r>
              <w:rPr>
                <w:rFonts w:eastAsia="楷体_GB2312" w:cs="Times New Roman"/>
                <w:b/>
                <w:bCs/>
                <w:color w:val="000000"/>
                <w:sz w:val="21"/>
              </w:rPr>
              <w:t>4</w:t>
            </w:r>
          </w:p>
        </w:tc>
        <w:tc>
          <w:tcPr>
            <w:tcW w:w="2907"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jc w:val="center"/>
              <w:rPr>
                <w:rFonts w:eastAsia="楷体_GB2312" w:cs="Times New Roman"/>
                <w:color w:val="000000"/>
                <w:sz w:val="21"/>
              </w:rPr>
            </w:pPr>
            <w:r>
              <w:rPr>
                <w:rFonts w:eastAsia="楷体_GB2312" w:cs="Times New Roman"/>
                <w:color w:val="000000"/>
                <w:sz w:val="21"/>
              </w:rPr>
              <w:t>重金属污染防治定点医疗机构诊疗能力建设工程</w:t>
            </w:r>
          </w:p>
        </w:tc>
        <w:tc>
          <w:tcPr>
            <w:tcW w:w="8595"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rPr>
                <w:rFonts w:eastAsia="楷体_GB2312" w:cs="Times New Roman"/>
                <w:color w:val="000000"/>
                <w:sz w:val="21"/>
              </w:rPr>
            </w:pPr>
            <w:r>
              <w:rPr>
                <w:rFonts w:eastAsia="楷体_GB2312" w:cs="Times New Roman"/>
                <w:color w:val="000000"/>
                <w:sz w:val="21"/>
              </w:rPr>
              <w:t>按照《重金属污染诊疗指南（试行）》要求，推进重金属污染重点防控地区定点诊疗机构重金属污染生物检测、健康体检和诊疗救治机构与能力建设，加强临床检查、检验、诊断、治疗等</w:t>
            </w:r>
            <w:r>
              <w:rPr>
                <w:rFonts w:eastAsia="楷体_GB2312" w:cs="Times New Roman"/>
                <w:color w:val="000000"/>
                <w:sz w:val="21"/>
              </w:rPr>
              <w:lastRenderedPageBreak/>
              <w:t>硬件设施的建设，强化重金属中毒临床检查、诊断、救治技术人才的培训和引进，提高非职业性重金属中毒病人的医疗救治水平。</w:t>
            </w:r>
          </w:p>
        </w:tc>
        <w:tc>
          <w:tcPr>
            <w:tcW w:w="1685" w:type="dxa"/>
            <w:tcBorders>
              <w:top w:val="single" w:sz="4" w:space="0" w:color="000000"/>
              <w:left w:val="nil"/>
              <w:bottom w:val="single" w:sz="4" w:space="0" w:color="000000"/>
              <w:right w:val="single" w:sz="4" w:space="0" w:color="000000"/>
            </w:tcBorders>
            <w:vAlign w:val="center"/>
          </w:tcPr>
          <w:p w:rsidR="00AD7E73" w:rsidRDefault="00AD7E73" w:rsidP="00CE376B">
            <w:pPr>
              <w:pStyle w:val="p0"/>
              <w:spacing w:line="320" w:lineRule="exact"/>
              <w:rPr>
                <w:rFonts w:eastAsia="楷体_GB2312" w:cs="Times New Roman"/>
                <w:color w:val="000000"/>
                <w:sz w:val="21"/>
              </w:rPr>
            </w:pPr>
            <w:r>
              <w:rPr>
                <w:rFonts w:eastAsia="楷体_GB2312" w:cs="Times New Roman"/>
                <w:color w:val="000000"/>
                <w:sz w:val="21"/>
              </w:rPr>
              <w:lastRenderedPageBreak/>
              <w:t>各相关地市及区县人民政府</w:t>
            </w:r>
          </w:p>
        </w:tc>
      </w:tr>
    </w:tbl>
    <w:p w:rsidR="00AD7E73" w:rsidRDefault="00AD7E73" w:rsidP="00AD7E73">
      <w:pPr>
        <w:outlineLvl w:val="1"/>
        <w:sectPr w:rsidR="00AD7E73">
          <w:footerReference w:type="default" r:id="rId7"/>
          <w:pgSz w:w="16838" w:h="11906" w:orient="landscape"/>
          <w:pgMar w:top="1417" w:right="1134" w:bottom="1417" w:left="1134" w:header="851" w:footer="1020" w:gutter="0"/>
          <w:cols w:space="720"/>
          <w:docGrid w:type="linesAndChars" w:linePitch="579" w:charSpace="-849"/>
        </w:sectPr>
      </w:pPr>
    </w:p>
    <w:p w:rsidR="00AD7E73" w:rsidRDefault="00AD7E73" w:rsidP="00AD7E73">
      <w:pPr>
        <w:rPr>
          <w:rFonts w:hint="eastAsia"/>
        </w:rPr>
      </w:pPr>
      <w:r>
        <w:rPr>
          <w:rFonts w:hint="eastAsia"/>
        </w:rPr>
        <w:lastRenderedPageBreak/>
        <w:t xml:space="preserve">  </w:t>
      </w:r>
    </w:p>
    <w:p w:rsidR="00AD7E73" w:rsidRDefault="00AD7E73" w:rsidP="00AD7E73">
      <w:pPr>
        <w:rPr>
          <w:rFonts w:hint="eastAsia"/>
        </w:rPr>
      </w:pPr>
    </w:p>
    <w:p w:rsidR="00AD7E73" w:rsidRDefault="00AD7E73" w:rsidP="00AD7E73">
      <w:pPr>
        <w:rPr>
          <w:rFonts w:hint="eastAsia"/>
        </w:rPr>
      </w:pPr>
    </w:p>
    <w:p w:rsidR="00AD7E73" w:rsidRDefault="00AD7E73" w:rsidP="00AD7E73">
      <w:pPr>
        <w:rPr>
          <w:rFonts w:hint="eastAsia"/>
        </w:rPr>
      </w:pPr>
    </w:p>
    <w:p w:rsidR="00AD7E73" w:rsidRDefault="00AD7E73" w:rsidP="00AD7E73">
      <w:pPr>
        <w:rPr>
          <w:rFonts w:hint="eastAsia"/>
        </w:rPr>
      </w:pPr>
    </w:p>
    <w:p w:rsidR="00AD7E73" w:rsidRDefault="00AD7E73" w:rsidP="00AD7E73">
      <w:pPr>
        <w:rPr>
          <w:rFonts w:hint="eastAsia"/>
        </w:rPr>
      </w:pPr>
    </w:p>
    <w:p w:rsidR="00AD7E73" w:rsidRDefault="00AD7E73" w:rsidP="00AD7E73">
      <w:pPr>
        <w:rPr>
          <w:rFonts w:hint="eastAsia"/>
        </w:rPr>
      </w:pPr>
    </w:p>
    <w:p w:rsidR="00AD7E73" w:rsidRDefault="00AD7E73" w:rsidP="00AD7E73">
      <w:pPr>
        <w:rPr>
          <w:rFonts w:hint="eastAsia"/>
        </w:rPr>
      </w:pPr>
    </w:p>
    <w:p w:rsidR="00AD7E73" w:rsidRDefault="00AD7E73" w:rsidP="00AD7E73">
      <w:pPr>
        <w:rPr>
          <w:rFonts w:hint="eastAsia"/>
        </w:rPr>
      </w:pPr>
    </w:p>
    <w:p w:rsidR="00AD7E73" w:rsidRDefault="00AD7E73" w:rsidP="00AD7E73">
      <w:pPr>
        <w:rPr>
          <w:rFonts w:hint="eastAsia"/>
        </w:rPr>
      </w:pPr>
    </w:p>
    <w:p w:rsidR="00AD7E73" w:rsidRDefault="00AD7E73" w:rsidP="00AD7E73">
      <w:pPr>
        <w:rPr>
          <w:rFonts w:hint="eastAsia"/>
        </w:rPr>
      </w:pPr>
    </w:p>
    <w:p w:rsidR="00791E01" w:rsidRPr="00AD7E73" w:rsidRDefault="00AD7E73">
      <w:bookmarkStart w:id="100" w:name="_GoBack"/>
      <w:bookmarkEnd w:id="100"/>
    </w:p>
    <w:sectPr w:rsidR="00791E01" w:rsidRPr="00AD7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Arial Unicode MS"/>
    <w:charset w:val="86"/>
    <w:family w:val="modern"/>
    <w:pitch w:val="default"/>
    <w:sig w:usb0="00000000" w:usb1="00000000" w:usb2="00000000"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7E7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D7E73">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AD7E73">
                            <w:rPr>
                              <w:noProof/>
                              <w:lang w:val="en-US" w:eastAsia="zh-CN"/>
                            </w:rPr>
                            <w:t>31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oYsAIAAJwFAAAOAAAAZHJzL2Uyb0RvYy54bWysVF2O0zAQfkfiDpbfs/kh7SbRpqulaRDS&#10;AistHMBNnMYisS3b23RBnAWJNw7BcRDXYOw07Xb3BQF5sMb2+Jv5Zr7MxeWu79CWKs0Ez3F4FmBE&#10;eSVqxjc5/vC+9BKMtCG8Jp3gNMf3VOPLxfNnF4PMaCRa0dVUIQDhOhtkjltjZOb7umppT/SZkJTD&#10;ZSNUTwxs1cavFRkAve/8KAjm/iBULZWoqNZwWoyXeOHwm4ZW5l3TaGpQl2PIzbhVuXVtV39xQbKN&#10;IrJl1T4N8hdZ9IRxCHqAKogh6E6xJ1A9q5TQojFnleh90TSsoo4DsAmDR2xuWyKp4wLF0fJQJv3/&#10;YKu32xuFWJ3jCCNOemjRr6/ff/74hiJbm0HqDFxu5Y2y7LS8FtVHjbhYtoRv6JVSYmgpqSGj0Pr7&#10;Jw/sRsNTtB7eiBqgyZ0Rrky7RvUWEAqAdq4b94du0J1BFRyGSZQkATStgrtpY2OQbHoulTavqOiR&#10;NXKsoN0OnmyvtRldJxcbjYuSdR2ck6zjJweAOZ5AcHhq72waroOf0yBdJask9uJovvLioCi8q3IZ&#10;e/MyPJ8VL4rlsgi/2LhhnLWsrim3YSY1hfGfdWuv61EHBz1p0bHawtmUtNqsl51CWwJqLt3nig43&#10;Rzf/NA1XL+DyiFIYxcHLKPXKeXLuxWU889LzIPGCMH2ZzoM4jYvylNI14/TfKaEhx+ksmrkuPUj6&#10;EbfAfU+5kaxnBuZFx/ocgzbgs04ksxpc8drZhrButB+UwqZ/LAW0e2q0U6wV6Sh2s1vvAMUqdy3q&#10;e9CuEqAsUCEMOTBaoT5hNMDAyDGHiYZR95qD+u1smQw1GevJILyChzk2GI3m0owz6E4qtmkBNxwr&#10;Iq/gDymZ0+4xh/1/BSPAUdiPKztjHu6d13GoLn4DAAD//wMAUEsDBBQABgAIAAAAIQB7ljAF1gAA&#10;AAUBAAAPAAAAZHJzL2Rvd25yZXYueG1sTI/NasMwEITvhb6D2EJvjRwfinEshxIIJKWXOH0AxVr/&#10;UGllJCV2377bUmgvyw6zzH5TbRdnxQ1DHD0pWK8yEEitNyP1Ct7P+6cCREyajLaeUMEnRtjW93eV&#10;Lo2f6YS3JvWCQyiWWsGQ0lRKGdsBnY4rPyGx1/ngdGIZemmCnjncWZln2bN0eiT+MOgJdwO2H83V&#10;KZDnZj8XjQ2Zf827N3s8nDr0Sj0+LC8bEAmX9HcM3/iMDjUzXfyVTBRWARdJP5O9vChYXn4XWVfy&#10;P339BQAA//8DAFBLAQItABQABgAIAAAAIQC2gziS/gAAAOEBAAATAAAAAAAAAAAAAAAAAAAAAABb&#10;Q29udGVudF9UeXBlc10ueG1sUEsBAi0AFAAGAAgAAAAhADj9If/WAAAAlAEAAAsAAAAAAAAAAAAA&#10;AAAALwEAAF9yZWxzLy5yZWxzUEsBAi0AFAAGAAgAAAAhACs4ihiwAgAAnAUAAA4AAAAAAAAAAAAA&#10;AAAALgIAAGRycy9lMm9Eb2MueG1sUEsBAi0AFAAGAAgAAAAhAHuWMAXWAAAABQEAAA8AAAAAAAAA&#10;AAAAAAAACgUAAGRycy9kb3ducmV2LnhtbFBLBQYAAAAABAAEAPMAAAANBgAAAAA=&#10;" filled="f" stroked="f">
              <v:textbox style="mso-fit-shape-to-text:t" inset="0,0,0,0">
                <w:txbxContent>
                  <w:p w:rsidR="00000000" w:rsidRDefault="00AD7E73">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AD7E73">
                      <w:rPr>
                        <w:noProof/>
                        <w:lang w:val="en-US" w:eastAsia="zh-CN"/>
                      </w:rPr>
                      <w:t>31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7E73">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D7E73">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AD7E73">
                            <w:rPr>
                              <w:noProof/>
                              <w:lang w:val="en-US" w:eastAsia="zh-CN"/>
                            </w:rPr>
                            <w:t>40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i9sQIAAKMFAAAOAAAAZHJzL2Uyb0RvYy54bWysVN1u0zAUvkfiHSzfZ/kh7ZJo6TSaBiEN&#10;mDR4ADdxGovEtmyv6UA8CxJ3PASPg3gNjp2ma7cbBOQiOv77/J3zfT4Xl7u+Q1uqNBM8x+FZgBHl&#10;lagZ3+T4w/vSSzDShvCadILTHN9TjS8Xz59dDDKjkWhFV1OFAITrbJA5bo2Rme/rqqU90WdCUg6L&#10;jVA9MTBUG79WZAD0vvOjIJj7g1C1VKKiWsNsMS7ihcNvGlqZd02jqUFdjoGbcX/l/mv79xcXJNso&#10;IltW7WmQv2DRE8bh0gNUQQxBd4o9gepZpYQWjTmrRO+LpmEVdTlANmHwKJvblkjqcoHiaHkok/5/&#10;sNXb7Y1CrAbtMOKkB4l+ff3+88c3FNraDFJnsOVW3iibnZbXovqoERfLlvANvVJKDC0lNTBy+/2T&#10;A3ag4ShaD29EDdDkzghXpl2jegsIBUA7p8b9QQ26M6iCyTCJkiQA0SpYmwbAySfZdFwqbV5R0SMb&#10;5FiB3A6ebK+1GbdOW+xtXJSs65zkHT+ZAMxxBi6Ho3bN0nAKfk6DdJWsktiLo/nKi4Oi8K7KZezN&#10;y/B8Vrwolssi/GLvDeOsZXVNub1mclMY/5lae1+PPjj4SYuO1RbOUtJqs152Cm0JuLl0nxUJyB9t&#10;809puGXI5VFKYRQHL6PUK+fJuReX8cxLz4PEC8L0ZToP4jQuytOUrhmn/54SGnKczqKZU+mI9KPc&#10;Avc9zY1kPTPQLzrW5xi8Ad/4gq0HV7x20hrCujE+KoWl/1AKqNgktHOsNelodrNb7/bPAcCsgdei&#10;vgcLKwEGAzNCr4OgFeoTRgP0jRxzaGwYda85PALbYqZATcF6Cgiv4GCODUZjuDRjK7qTim1awA3H&#10;wsgreCglcxZ+4AD87QA6gctk37Vsqzkeu10PvXXxGwAA//8DAFBLAwQUAAYACAAAACEAe5YwBdYA&#10;AAAFAQAADwAAAGRycy9kb3ducmV2LnhtbEyPzWrDMBCE74W+g9hCb40cH4pxLIcSCCSllzh9AMVa&#10;/1BpZSQldt++21JoL8sOs8x+U20XZ8UNQxw9KVivMhBIrTcj9Qrez/unAkRMmoy2nlDBJ0bY1vd3&#10;lS6Nn+mEtyb1gkMollrBkNJUShnbAZ2OKz8hsdf54HRiGXppgp453FmZZ9mzdHok/jDoCXcDth/N&#10;1SmQ52Y/F40NmX/Nuzd7PJw69Eo9PiwvGxAJl/R3DN/4jA41M138lUwUVgEXST+TvbwoWF5+F1lX&#10;8j99/QUAAP//AwBQSwECLQAUAAYACAAAACEAtoM4kv4AAADhAQAAEwAAAAAAAAAAAAAAAAAAAAAA&#10;W0NvbnRlbnRfVHlwZXNdLnhtbFBLAQItABQABgAIAAAAIQA4/SH/1gAAAJQBAAALAAAAAAAAAAAA&#10;AAAAAC8BAABfcmVscy8ucmVsc1BLAQItABQABgAIAAAAIQAcxhi9sQIAAKMFAAAOAAAAAAAAAAAA&#10;AAAAAC4CAABkcnMvZTJvRG9jLnhtbFBLAQItABQABgAIAAAAIQB7ljAF1gAAAAUBAAAPAAAAAAAA&#10;AAAAAAAAAAsFAABkcnMvZG93bnJldi54bWxQSwUGAAAAAAQABADzAAAADgYAAAAA&#10;" filled="f" stroked="f">
              <v:textbox style="mso-fit-shape-to-text:t" inset="0,0,0,0">
                <w:txbxContent>
                  <w:p w:rsidR="00000000" w:rsidRDefault="00AD7E73">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AD7E73">
                      <w:rPr>
                        <w:noProof/>
                        <w:lang w:val="en-US" w:eastAsia="zh-CN"/>
                      </w:rPr>
                      <w:t>40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F7C3F"/>
    <w:multiLevelType w:val="singleLevel"/>
    <w:tmpl w:val="593F7C3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73"/>
    <w:rsid w:val="00174555"/>
    <w:rsid w:val="00A470A6"/>
    <w:rsid w:val="00AD7E73"/>
    <w:rsid w:val="00D6367B"/>
    <w:rsid w:val="00E501D9"/>
    <w:rsid w:val="00F5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3E5DF6-6ED9-4478-8CB5-4BFAEDDF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73"/>
    <w:pPr>
      <w:widowControl w:val="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AD7E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7E73"/>
    <w:rPr>
      <w:rFonts w:ascii="Times New Roman" w:eastAsia="仿宋_GB2312" w:hAnsi="Times New Roman" w:cs="Times New Roman"/>
      <w:b/>
      <w:bCs/>
      <w:kern w:val="44"/>
      <w:sz w:val="44"/>
      <w:szCs w:val="44"/>
    </w:rPr>
  </w:style>
  <w:style w:type="paragraph" w:customStyle="1" w:styleId="p0">
    <w:name w:val="p0"/>
    <w:basedOn w:val="a"/>
    <w:rsid w:val="00AD7E73"/>
    <w:pPr>
      <w:widowControl/>
    </w:pPr>
    <w:rPr>
      <w:rFonts w:cs="宋体"/>
      <w:kern w:val="0"/>
      <w:szCs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AD7E73"/>
    <w:pPr>
      <w:widowControl w:val="0"/>
      <w:jc w:val="both"/>
    </w:pPr>
    <w:rPr>
      <w:rFonts w:ascii="Times New Roman" w:eastAsia="仿宋_GB2312" w:hAnsi="Times New Roman" w:cs="Times New Roman"/>
      <w:sz w:val="32"/>
      <w:szCs w:val="20"/>
    </w:rPr>
  </w:style>
  <w:style w:type="paragraph" w:customStyle="1" w:styleId="NewNewNewNewNewNewNewNewNewNewNewNewNewNewNewNewNewNewNewNewNewNewNewNewNewNewNew">
    <w:name w:val="正文 New New New New New New New New New New New New New New New New New New New New New New New New New New New"/>
    <w:rsid w:val="00AD7E73"/>
    <w:pPr>
      <w:widowControl w:val="0"/>
      <w:jc w:val="both"/>
    </w:pPr>
    <w:rPr>
      <w:rFonts w:ascii="Times New Roman" w:eastAsia="仿宋_GB2312" w:hAnsi="Times New Roman" w:cs="Times New Roman"/>
      <w:sz w:val="32"/>
      <w:szCs w:val="24"/>
    </w:rPr>
  </w:style>
  <w:style w:type="paragraph" w:customStyle="1" w:styleId="p15">
    <w:name w:val="p15"/>
    <w:basedOn w:val="a"/>
    <w:rsid w:val="00AD7E73"/>
    <w:pPr>
      <w:widowControl/>
      <w:ind w:firstLine="420"/>
    </w:pPr>
    <w:rPr>
      <w:rFonts w:cs="宋体"/>
      <w:kern w:val="0"/>
      <w:szCs w:val="21"/>
    </w:rPr>
  </w:style>
  <w:style w:type="paragraph" w:styleId="a3">
    <w:name w:val="footer"/>
    <w:basedOn w:val="a"/>
    <w:link w:val="Char"/>
    <w:rsid w:val="00AD7E73"/>
    <w:pPr>
      <w:tabs>
        <w:tab w:val="center" w:pos="4153"/>
        <w:tab w:val="right" w:pos="8306"/>
      </w:tabs>
      <w:snapToGrid w:val="0"/>
      <w:jc w:val="left"/>
    </w:pPr>
    <w:rPr>
      <w:sz w:val="18"/>
      <w:szCs w:val="18"/>
    </w:rPr>
  </w:style>
  <w:style w:type="character" w:customStyle="1" w:styleId="Char">
    <w:name w:val="页脚 Char"/>
    <w:basedOn w:val="a0"/>
    <w:link w:val="a3"/>
    <w:rsid w:val="00AD7E7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baike.baidu.com/view/253383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3412</Words>
  <Characters>19454</Characters>
  <Application>Microsoft Office Word</Application>
  <DocSecurity>0</DocSecurity>
  <Lines>162</Lines>
  <Paragraphs>45</Paragraphs>
  <ScaleCrop>false</ScaleCrop>
  <Company>Hewlett-Packard Company</Company>
  <LinksUpToDate>false</LinksUpToDate>
  <CharactersWithSpaces>22821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彭海清</dc:creator>
  <cp:keywords/>
  <dc:description/>
  <cp:lastModifiedBy>彭海清</cp:lastModifiedBy>
  <cp:revision>1</cp:revision>
  <dcterms:created xsi:type="dcterms:W3CDTF">2017-07-24T09:10:00Z</dcterms:created>
  <dcterms:modified xsi:type="dcterms:W3CDTF">2017-07-24T09:10:00Z</dcterms:modified>
</cp:coreProperties>
</file>